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ook w:val="04A0" w:firstRow="1" w:lastRow="0" w:firstColumn="1" w:lastColumn="0" w:noHBand="0" w:noVBand="1"/>
      </w:tblPr>
      <w:tblGrid>
        <w:gridCol w:w="19860"/>
        <w:gridCol w:w="222"/>
      </w:tblGrid>
      <w:tr w:rsidR="00F53B30" w:rsidRPr="00DF4EDB" w14:paraId="29E02395" w14:textId="77777777" w:rsidTr="00B0319B">
        <w:trPr>
          <w:trHeight w:val="1701"/>
        </w:trPr>
        <w:tc>
          <w:tcPr>
            <w:tcW w:w="3936" w:type="dxa"/>
            <w:shd w:val="clear" w:color="auto" w:fill="auto"/>
          </w:tcPr>
          <w:tbl>
            <w:tblPr>
              <w:tblW w:w="19644" w:type="dxa"/>
              <w:tblLook w:val="04A0" w:firstRow="1" w:lastRow="0" w:firstColumn="1" w:lastColumn="0" w:noHBand="0" w:noVBand="1"/>
            </w:tblPr>
            <w:tblGrid>
              <w:gridCol w:w="9822"/>
              <w:gridCol w:w="9822"/>
            </w:tblGrid>
            <w:tr w:rsidR="00F53B30" w:rsidRPr="00DF4EDB" w14:paraId="2A8BA1DA" w14:textId="77777777" w:rsidTr="00F53B30">
              <w:tc>
                <w:tcPr>
                  <w:tcW w:w="9822" w:type="dxa"/>
                  <w:shd w:val="clear" w:color="auto" w:fill="auto"/>
                </w:tcPr>
                <w:tbl>
                  <w:tblPr>
                    <w:tblW w:w="8949" w:type="dxa"/>
                    <w:tblLook w:val="04A0" w:firstRow="1" w:lastRow="0" w:firstColumn="1" w:lastColumn="0" w:noHBand="0" w:noVBand="1"/>
                  </w:tblPr>
                  <w:tblGrid>
                    <w:gridCol w:w="3148"/>
                    <w:gridCol w:w="5801"/>
                  </w:tblGrid>
                  <w:tr w:rsidR="00F53B30" w:rsidRPr="00DF4EDB" w14:paraId="6FE5AA61" w14:textId="77777777" w:rsidTr="00B0319B">
                    <w:trPr>
                      <w:trHeight w:val="708"/>
                    </w:trPr>
                    <w:tc>
                      <w:tcPr>
                        <w:tcW w:w="3148" w:type="dxa"/>
                        <w:shd w:val="clear" w:color="auto" w:fill="auto"/>
                      </w:tcPr>
                      <w:p w14:paraId="52C19D8E" w14:textId="4AC87A9E" w:rsidR="00F53B30" w:rsidRPr="00CC0C94" w:rsidRDefault="00F53B30" w:rsidP="00056E04">
                        <w:pPr>
                          <w:spacing w:line="360" w:lineRule="exact"/>
                          <w:jc w:val="center"/>
                          <w:rPr>
                            <w:b/>
                          </w:rPr>
                        </w:pPr>
                        <w:r w:rsidRPr="00615F64">
                          <w:rPr>
                            <w:b/>
                            <w:noProof/>
                          </w:rPr>
                          <mc:AlternateContent>
                            <mc:Choice Requires="wps">
                              <w:drawing>
                                <wp:anchor distT="0" distB="0" distL="114300" distR="114300" simplePos="0" relativeHeight="251662336" behindDoc="0" locked="0" layoutInCell="1" allowOverlap="1" wp14:anchorId="522A5243" wp14:editId="6D0FF2A0">
                                  <wp:simplePos x="0" y="0"/>
                                  <wp:positionH relativeFrom="column">
                                    <wp:posOffset>792480</wp:posOffset>
                                  </wp:positionH>
                                  <wp:positionV relativeFrom="paragraph">
                                    <wp:posOffset>280035</wp:posOffset>
                                  </wp:positionV>
                                  <wp:extent cx="752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26613"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pt,22.05pt" to="121.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" strokecolor="#4579b8 [3044]"/>
                              </w:pict>
                            </mc:Fallback>
                          </mc:AlternateContent>
                        </w:r>
                        <w:r w:rsidR="00CC0C94">
                          <w:rPr>
                            <w:b/>
                          </w:rPr>
                          <w:t>CHÍNH PHỦ</w:t>
                        </w:r>
                      </w:p>
                    </w:tc>
                    <w:tc>
                      <w:tcPr>
                        <w:tcW w:w="5801" w:type="dxa"/>
                        <w:shd w:val="clear" w:color="auto" w:fill="auto"/>
                      </w:tcPr>
                      <w:p w14:paraId="68C630A4" w14:textId="77777777" w:rsidR="00F53B30" w:rsidRPr="00F53B30" w:rsidRDefault="00F53B30" w:rsidP="00056E04">
                        <w:pPr>
                          <w:keepNext/>
                          <w:spacing w:line="360" w:lineRule="exact"/>
                          <w:jc w:val="center"/>
                          <w:rPr>
                            <w:b/>
                            <w:sz w:val="26"/>
                            <w:szCs w:val="26"/>
                            <w:lang w:val="vi-VN"/>
                          </w:rPr>
                        </w:pPr>
                        <w:r w:rsidRPr="00F53B30">
                          <w:rPr>
                            <w:b/>
                            <w:sz w:val="26"/>
                            <w:szCs w:val="26"/>
                            <w:lang w:val="vi-VN"/>
                          </w:rPr>
                          <w:t>CỘNG HOÀ XÃ HỘI CHỦ NGHĨA VIỆT NAM</w:t>
                        </w:r>
                      </w:p>
                      <w:p w14:paraId="1644FE8A" w14:textId="77777777" w:rsidR="00F53B30" w:rsidRPr="00615F64" w:rsidRDefault="00F53B30" w:rsidP="00056E04">
                        <w:pPr>
                          <w:spacing w:line="360" w:lineRule="exact"/>
                          <w:jc w:val="center"/>
                          <w:rPr>
                            <w:i/>
                            <w:lang w:val="vi-VN"/>
                          </w:rPr>
                        </w:pPr>
                        <w:r w:rsidRPr="00615F64">
                          <w:rPr>
                            <w:noProof/>
                          </w:rPr>
                          <mc:AlternateContent>
                            <mc:Choice Requires="wps">
                              <w:drawing>
                                <wp:anchor distT="0" distB="0" distL="114300" distR="114300" simplePos="0" relativeHeight="251661312" behindDoc="0" locked="0" layoutInCell="1" allowOverlap="1" wp14:anchorId="4B4E065C" wp14:editId="0B56E0D9">
                                  <wp:simplePos x="0" y="0"/>
                                  <wp:positionH relativeFrom="column">
                                    <wp:posOffset>674370</wp:posOffset>
                                  </wp:positionH>
                                  <wp:positionV relativeFrom="paragraph">
                                    <wp:posOffset>278434</wp:posOffset>
                                  </wp:positionV>
                                  <wp:extent cx="2142000"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EA1DB" id="_x0000_t32" coordsize="21600,21600" o:spt="32" o:oned="t" path="m,l21600,21600e" filled="f">
                                  <v:path arrowok="t" fillok="f" o:connecttype="none"/>
                                  <o:lock v:ext="edit" shapetype="t"/>
                                </v:shapetype>
                                <v:shape id="Straight Arrow Connector 4" o:spid="_x0000_s1026" type="#_x0000_t32" style="position:absolute;margin-left:53.1pt;margin-top:21.9pt;width:16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GeIw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"/>
                              </w:pict>
                            </mc:Fallback>
                          </mc:AlternateContent>
                        </w:r>
                        <w:r w:rsidRPr="00615F64">
                          <w:rPr>
                            <w:b/>
                            <w:lang w:val="pt-BR"/>
                          </w:rPr>
                          <w:t>Độc lập - Tự do - Hạnh phúc</w:t>
                        </w:r>
                      </w:p>
                    </w:tc>
                  </w:tr>
                  <w:tr w:rsidR="00F53B30" w:rsidRPr="00DF4EDB" w14:paraId="661BC390" w14:textId="77777777" w:rsidTr="00B0319B">
                    <w:trPr>
                      <w:trHeight w:val="818"/>
                    </w:trPr>
                    <w:tc>
                      <w:tcPr>
                        <w:tcW w:w="3148" w:type="dxa"/>
                        <w:shd w:val="clear" w:color="auto" w:fill="auto"/>
                      </w:tcPr>
                      <w:p w14:paraId="58C6388F" w14:textId="5EF1C010" w:rsidR="00F53B30" w:rsidRPr="00615F64" w:rsidRDefault="00F53B30" w:rsidP="00056E04">
                        <w:pPr>
                          <w:spacing w:line="360" w:lineRule="exact"/>
                          <w:jc w:val="center"/>
                          <w:rPr>
                            <w:lang w:val="vi-VN"/>
                          </w:rPr>
                        </w:pPr>
                        <w:r w:rsidRPr="00615F64">
                          <w:t xml:space="preserve">Số: </w:t>
                        </w:r>
                        <w:r w:rsidR="006C11B1">
                          <w:t>327</w:t>
                        </w:r>
                        <w:r w:rsidR="00CC0C94">
                          <w:t>/BC-CP</w:t>
                        </w:r>
                      </w:p>
                      <w:p w14:paraId="4774A063" w14:textId="77777777" w:rsidR="00F53B30" w:rsidRPr="00615F64" w:rsidRDefault="00F53B30" w:rsidP="00056E04">
                        <w:pPr>
                          <w:spacing w:line="360" w:lineRule="exact"/>
                        </w:pPr>
                      </w:p>
                      <w:p w14:paraId="6039D905" w14:textId="77777777" w:rsidR="00F53B30" w:rsidRPr="00615F64" w:rsidRDefault="00F53B30" w:rsidP="00056E04">
                        <w:pPr>
                          <w:spacing w:line="360" w:lineRule="exact"/>
                          <w:jc w:val="center"/>
                          <w:rPr>
                            <w:b/>
                            <w:lang w:val="vi-VN"/>
                          </w:rPr>
                        </w:pPr>
                      </w:p>
                    </w:tc>
                    <w:tc>
                      <w:tcPr>
                        <w:tcW w:w="5801" w:type="dxa"/>
                        <w:shd w:val="clear" w:color="auto" w:fill="auto"/>
                      </w:tcPr>
                      <w:p w14:paraId="2647739A" w14:textId="77777777" w:rsidR="00F53B30" w:rsidRPr="00615F64" w:rsidRDefault="00F53B30" w:rsidP="00056E04">
                        <w:pPr>
                          <w:spacing w:line="360" w:lineRule="exact"/>
                          <w:jc w:val="both"/>
                          <w:rPr>
                            <w:i/>
                            <w:lang w:val="vi-VN"/>
                          </w:rPr>
                        </w:pPr>
                      </w:p>
                      <w:p w14:paraId="1E2AAC2C" w14:textId="3F915B5E" w:rsidR="00F53B30" w:rsidRPr="00615F64" w:rsidRDefault="00F53B30" w:rsidP="0077345E">
                        <w:pPr>
                          <w:spacing w:line="360" w:lineRule="exact"/>
                          <w:jc w:val="right"/>
                          <w:rPr>
                            <w:b/>
                            <w:lang w:val="vi-VN"/>
                          </w:rPr>
                        </w:pPr>
                        <w:r w:rsidRPr="00615F64">
                          <w:rPr>
                            <w:i/>
                            <w:lang w:val="vi-VN"/>
                          </w:rPr>
                          <w:t xml:space="preserve">Hà Nội, ngày </w:t>
                        </w:r>
                        <w:r w:rsidR="006C11B1">
                          <w:rPr>
                            <w:i/>
                            <w:lang w:val="en-GB"/>
                          </w:rPr>
                          <w:t>10</w:t>
                        </w:r>
                        <w:r w:rsidRPr="00615F64">
                          <w:rPr>
                            <w:i/>
                            <w:lang w:val="vi-VN"/>
                          </w:rPr>
                          <w:t xml:space="preserve"> tháng </w:t>
                        </w:r>
                        <w:r w:rsidR="00A52CC5">
                          <w:rPr>
                            <w:i/>
                          </w:rPr>
                          <w:t>9</w:t>
                        </w:r>
                        <w:r w:rsidR="0077345E">
                          <w:rPr>
                            <w:i/>
                          </w:rPr>
                          <w:t xml:space="preserve"> </w:t>
                        </w:r>
                        <w:r w:rsidRPr="00615F64">
                          <w:rPr>
                            <w:i/>
                            <w:lang w:val="vi-VN"/>
                          </w:rPr>
                          <w:t xml:space="preserve"> năm 2021</w:t>
                        </w:r>
                      </w:p>
                    </w:tc>
                  </w:tr>
                </w:tbl>
                <w:p w14:paraId="109964DD" w14:textId="153FFC60" w:rsidR="00F53B30" w:rsidRPr="009C3398" w:rsidRDefault="00F53B30" w:rsidP="000E2335">
                  <w:pPr>
                    <w:spacing w:line="360" w:lineRule="exact"/>
                    <w:jc w:val="center"/>
                    <w:rPr>
                      <w:b/>
                      <w:lang w:val="vi-VN"/>
                    </w:rPr>
                  </w:pPr>
                </w:p>
              </w:tc>
              <w:tc>
                <w:tcPr>
                  <w:tcW w:w="9822" w:type="dxa"/>
                  <w:shd w:val="clear" w:color="auto" w:fill="auto"/>
                </w:tcPr>
                <w:p w14:paraId="67BF2216" w14:textId="77777777" w:rsidR="00F53B30" w:rsidRPr="00F53B30" w:rsidRDefault="00F53B30" w:rsidP="000E2335">
                  <w:pPr>
                    <w:spacing w:line="360" w:lineRule="exact"/>
                    <w:jc w:val="both"/>
                    <w:rPr>
                      <w:b/>
                      <w:lang w:val="vi-VN"/>
                    </w:rPr>
                  </w:pPr>
                </w:p>
              </w:tc>
            </w:tr>
          </w:tbl>
          <w:p w14:paraId="7BA1D88A" w14:textId="607E5126" w:rsidR="00F53B30" w:rsidRPr="00F53B30" w:rsidRDefault="00F53B30" w:rsidP="00B13979">
            <w:pPr>
              <w:spacing w:line="360" w:lineRule="exact"/>
              <w:jc w:val="center"/>
              <w:rPr>
                <w:b/>
                <w:lang w:val="vi-VN"/>
              </w:rPr>
            </w:pPr>
          </w:p>
        </w:tc>
        <w:tc>
          <w:tcPr>
            <w:tcW w:w="5670" w:type="dxa"/>
            <w:shd w:val="clear" w:color="auto" w:fill="auto"/>
          </w:tcPr>
          <w:p w14:paraId="0AFD1375" w14:textId="546E6998" w:rsidR="00F53B30" w:rsidRPr="009C5623" w:rsidRDefault="00F53B30" w:rsidP="00ED5053">
            <w:pPr>
              <w:spacing w:line="360" w:lineRule="exact"/>
              <w:jc w:val="center"/>
              <w:rPr>
                <w:i/>
                <w:lang w:val="vi-VN"/>
              </w:rPr>
            </w:pPr>
          </w:p>
        </w:tc>
      </w:tr>
      <w:tr w:rsidR="00F53B30" w:rsidRPr="00DF4EDB" w14:paraId="184A9592" w14:textId="77777777" w:rsidTr="00B0319B">
        <w:trPr>
          <w:trHeight w:val="80"/>
        </w:trPr>
        <w:tc>
          <w:tcPr>
            <w:tcW w:w="3936" w:type="dxa"/>
            <w:shd w:val="clear" w:color="auto" w:fill="auto"/>
          </w:tcPr>
          <w:p w14:paraId="231BA213" w14:textId="44FD067D" w:rsidR="00F53B30" w:rsidRPr="009C5623" w:rsidRDefault="00F53B30" w:rsidP="004717DE">
            <w:pPr>
              <w:spacing w:line="360" w:lineRule="exact"/>
              <w:jc w:val="center"/>
              <w:rPr>
                <w:b/>
                <w:lang w:val="vi-VN"/>
              </w:rPr>
            </w:pPr>
          </w:p>
        </w:tc>
        <w:tc>
          <w:tcPr>
            <w:tcW w:w="5670" w:type="dxa"/>
            <w:shd w:val="clear" w:color="auto" w:fill="auto"/>
          </w:tcPr>
          <w:p w14:paraId="7625841F" w14:textId="155C70B9" w:rsidR="00F53B30" w:rsidRPr="00ED5053" w:rsidRDefault="00F53B30" w:rsidP="00A702E6">
            <w:pPr>
              <w:spacing w:line="360" w:lineRule="exact"/>
              <w:jc w:val="right"/>
              <w:rPr>
                <w:b/>
                <w:lang w:val="vi-VN"/>
              </w:rPr>
            </w:pPr>
          </w:p>
        </w:tc>
      </w:tr>
    </w:tbl>
    <w:p w14:paraId="0DAE6AFC" w14:textId="74CD929E" w:rsidR="00BF54F5" w:rsidRPr="00DF4EDB" w:rsidRDefault="00BF54F5" w:rsidP="00B0319B">
      <w:pPr>
        <w:jc w:val="center"/>
        <w:rPr>
          <w:b/>
          <w:lang w:val="vi-VN"/>
        </w:rPr>
      </w:pPr>
      <w:r w:rsidRPr="00BF54F5">
        <w:rPr>
          <w:b/>
          <w:lang w:val="vi-VN"/>
        </w:rPr>
        <w:t>BÁO CÁO</w:t>
      </w:r>
      <w:r w:rsidR="00A702E6" w:rsidRPr="00461711">
        <w:rPr>
          <w:b/>
          <w:lang w:val="vi-VN"/>
        </w:rPr>
        <w:t xml:space="preserve"> </w:t>
      </w:r>
      <w:r w:rsidR="003501A9" w:rsidRPr="00DF4EDB">
        <w:rPr>
          <w:b/>
          <w:lang w:val="vi-VN"/>
        </w:rPr>
        <w:t>TÓM TẮT</w:t>
      </w:r>
    </w:p>
    <w:p w14:paraId="70D3984C" w14:textId="2D016CDD" w:rsidR="00461711" w:rsidRPr="00CC0C94" w:rsidRDefault="00461711" w:rsidP="00461711">
      <w:pPr>
        <w:keepNext/>
        <w:jc w:val="center"/>
        <w:rPr>
          <w:b/>
          <w:lang w:val="vi-VN"/>
        </w:rPr>
      </w:pPr>
      <w:r w:rsidRPr="00CC0C94">
        <w:rPr>
          <w:b/>
          <w:lang w:val="vi-VN"/>
        </w:rPr>
        <w:t xml:space="preserve">Dự thảo Nghị quyết của Quốc hội về thí điểm một số cơ chế, </w:t>
      </w:r>
    </w:p>
    <w:p w14:paraId="43B68993" w14:textId="4CF2D272" w:rsidR="00CC0C94" w:rsidRPr="00CC0C94" w:rsidRDefault="00461711" w:rsidP="00CC0C94">
      <w:pPr>
        <w:spacing w:after="240" w:line="360" w:lineRule="exact"/>
        <w:jc w:val="center"/>
        <w:rPr>
          <w:b/>
          <w:lang w:val="vi-VN"/>
        </w:rPr>
      </w:pPr>
      <w:r w:rsidRPr="00CC0C94">
        <w:rPr>
          <w:b/>
          <w:lang w:val="vi-VN"/>
        </w:rPr>
        <w:t xml:space="preserve">chính sách đặc thù phát triển tỉnh </w:t>
      </w:r>
      <w:r w:rsidR="00B0319B">
        <w:rPr>
          <w:b/>
          <w:lang w:val="vi-VN"/>
        </w:rPr>
        <w:t>Thừa Thiên Huế</w:t>
      </w:r>
    </w:p>
    <w:p w14:paraId="4F6B64C6" w14:textId="4CC8A0FF" w:rsidR="00B958E7" w:rsidRPr="00F53B30" w:rsidRDefault="00B958E7" w:rsidP="00CC0C94">
      <w:pPr>
        <w:spacing w:after="240" w:line="360" w:lineRule="exact"/>
        <w:jc w:val="center"/>
        <w:rPr>
          <w:lang w:val="vi-VN"/>
        </w:rPr>
      </w:pPr>
      <w:r w:rsidRPr="00B958E7">
        <w:rPr>
          <w:lang w:val="vi-VN"/>
        </w:rPr>
        <w:t xml:space="preserve">Kính gửi: </w:t>
      </w:r>
      <w:r w:rsidR="00F53B30" w:rsidRPr="00F53B30">
        <w:rPr>
          <w:lang w:val="vi-VN"/>
        </w:rPr>
        <w:t>Ủy ban Thường Vụ Quốc hội</w:t>
      </w:r>
    </w:p>
    <w:p w14:paraId="591BE535" w14:textId="70C441F2" w:rsidR="00CC0C94" w:rsidRPr="00CC0C94" w:rsidRDefault="00CC0C94" w:rsidP="00BD688D">
      <w:pPr>
        <w:keepNext/>
        <w:spacing w:before="120" w:line="340" w:lineRule="exact"/>
        <w:ind w:firstLine="720"/>
        <w:jc w:val="both"/>
        <w:rPr>
          <w:lang w:val="vi-VN"/>
        </w:rPr>
      </w:pPr>
      <w:r w:rsidRPr="00CC0C94">
        <w:rPr>
          <w:lang w:val="vi-VN"/>
        </w:rPr>
        <w:t xml:space="preserve">Căn cứ chương trình phiên họp thứ 3 của Ủy ban Thường vụ Quốc hội, Chính phủ đã có </w:t>
      </w:r>
      <w:r w:rsidRPr="009C2785">
        <w:rPr>
          <w:lang w:val="vi-VN"/>
        </w:rPr>
        <w:t>Tờ trình</w:t>
      </w:r>
      <w:r w:rsidR="002A377B">
        <w:t xml:space="preserve"> số 326/TTr-CP ngày 10/9/2021</w:t>
      </w:r>
      <w:r w:rsidRPr="009C2785">
        <w:rPr>
          <w:lang w:val="vi-VN"/>
        </w:rPr>
        <w:t xml:space="preserve"> báo cáo Ủy ban Thường vụ Quốc hội về</w:t>
      </w:r>
      <w:r w:rsidRPr="00CC0C94">
        <w:rPr>
          <w:lang w:val="vi-VN"/>
        </w:rPr>
        <w:t xml:space="preserve"> Dự thảo Nghị quyết của Quốc hội về thí điểm một số cơ chế, chính sách đặc thù phát triển tỉnh </w:t>
      </w:r>
      <w:r w:rsidR="00B0319B">
        <w:rPr>
          <w:lang w:val="vi-VN"/>
        </w:rPr>
        <w:t>Thừa Thiên Huế</w:t>
      </w:r>
      <w:r w:rsidRPr="00CC0C94">
        <w:rPr>
          <w:lang w:val="vi-VN"/>
        </w:rPr>
        <w:t xml:space="preserve">, sau đây xin báo cáo tóm tắt </w:t>
      </w:r>
      <w:r w:rsidR="00291AFD" w:rsidRPr="00291AFD">
        <w:rPr>
          <w:lang w:val="vi-VN"/>
        </w:rPr>
        <w:t xml:space="preserve">một số </w:t>
      </w:r>
      <w:r w:rsidRPr="00CC0C94">
        <w:rPr>
          <w:lang w:val="vi-VN"/>
        </w:rPr>
        <w:t>nội dung chủ yếu như sau:</w:t>
      </w:r>
    </w:p>
    <w:p w14:paraId="02C7773A" w14:textId="77777777" w:rsidR="00461711" w:rsidRPr="00BF041C" w:rsidRDefault="00461711" w:rsidP="00BD688D">
      <w:pPr>
        <w:keepNext/>
        <w:spacing w:before="120" w:line="340" w:lineRule="exact"/>
        <w:ind w:firstLine="680"/>
        <w:jc w:val="both"/>
        <w:rPr>
          <w:b/>
          <w:lang w:val="vi-VN"/>
        </w:rPr>
      </w:pPr>
      <w:r w:rsidRPr="00BF041C">
        <w:rPr>
          <w:b/>
          <w:lang w:val="vi-VN"/>
        </w:rPr>
        <w:t>1. Căn cứ xây dựng</w:t>
      </w:r>
    </w:p>
    <w:p w14:paraId="0A9502B8" w14:textId="77777777" w:rsidR="00B0319B" w:rsidRDefault="00B0319B" w:rsidP="00BD688D">
      <w:pPr>
        <w:widowControl w:val="0"/>
        <w:spacing w:before="120" w:line="340" w:lineRule="exact"/>
        <w:ind w:firstLine="680"/>
        <w:jc w:val="both"/>
        <w:rPr>
          <w:i/>
        </w:rPr>
      </w:pPr>
      <w:r w:rsidRPr="00ED5053">
        <w:rPr>
          <w:lang w:val="vi-VN"/>
        </w:rPr>
        <w:t>- Căn cứ</w:t>
      </w:r>
      <w:r w:rsidRPr="002C70EF">
        <w:rPr>
          <w:b/>
          <w:lang w:val="vi-VN"/>
        </w:rPr>
        <w:t xml:space="preserve"> </w:t>
      </w:r>
      <w:r w:rsidRPr="00FF511B">
        <w:rPr>
          <w:lang w:val="vi-VN"/>
        </w:rPr>
        <w:t>Nghị quyết số 5</w:t>
      </w:r>
      <w:r>
        <w:t>4</w:t>
      </w:r>
      <w:r>
        <w:rPr>
          <w:lang w:val="vi-VN"/>
        </w:rPr>
        <w:t xml:space="preserve">-NQ/TW ngày </w:t>
      </w:r>
      <w:r>
        <w:t>10</w:t>
      </w:r>
      <w:r w:rsidRPr="00FF511B">
        <w:rPr>
          <w:lang w:val="vi-VN"/>
        </w:rPr>
        <w:t>/</w:t>
      </w:r>
      <w:r>
        <w:t>12</w:t>
      </w:r>
      <w:r w:rsidRPr="00FF511B">
        <w:rPr>
          <w:lang w:val="vi-VN"/>
        </w:rPr>
        <w:t>/20</w:t>
      </w:r>
      <w:r>
        <w:t xml:space="preserve">19 </w:t>
      </w:r>
      <w:r w:rsidRPr="00FF511B">
        <w:rPr>
          <w:lang w:val="vi-VN"/>
        </w:rPr>
        <w:t xml:space="preserve">của Bộ Chính trị về xây dựng và phát triển tỉnh </w:t>
      </w:r>
      <w:r>
        <w:rPr>
          <w:lang w:val="vi-VN"/>
        </w:rPr>
        <w:t>Thừa Thiên Huế</w:t>
      </w:r>
      <w:r w:rsidRPr="00FF511B">
        <w:rPr>
          <w:lang w:val="vi-VN"/>
        </w:rPr>
        <w:t xml:space="preserve"> đến năm 2030, tầm nhìn đến năm 2045</w:t>
      </w:r>
      <w:r w:rsidRPr="002C70EF">
        <w:rPr>
          <w:lang w:val="vi-VN"/>
        </w:rPr>
        <w:t xml:space="preserve"> </w:t>
      </w:r>
      <w:r w:rsidRPr="00FF511B">
        <w:rPr>
          <w:i/>
          <w:lang w:val="vi-VN"/>
        </w:rPr>
        <w:t xml:space="preserve">giao Ban cán sự đảng Chính phủ chỉ đạo </w:t>
      </w:r>
      <w:r>
        <w:rPr>
          <w:i/>
        </w:rPr>
        <w:t>x</w:t>
      </w:r>
      <w:r w:rsidRPr="009F0667">
        <w:rPr>
          <w:i/>
          <w:lang w:val="vi-VN"/>
        </w:rPr>
        <w:t>ây dựng và ban hành một số cơ chế, chính sách đặc thù để phát triển nhanh và bền vững Thừa Thiên Huế trên nền tảng bảo tồn và phát huy giá trị di sản Cố đô và bản sắc văn hóa Huế</w:t>
      </w:r>
      <w:r>
        <w:rPr>
          <w:i/>
        </w:rPr>
        <w:t>.</w:t>
      </w:r>
      <w:r w:rsidRPr="009F0667">
        <w:rPr>
          <w:i/>
          <w:lang w:val="vi-VN"/>
        </w:rPr>
        <w:t xml:space="preserve"> </w:t>
      </w:r>
    </w:p>
    <w:p w14:paraId="51B68AF1" w14:textId="57913972" w:rsidR="00B0319B" w:rsidRDefault="00CC0C94" w:rsidP="00BD688D">
      <w:pPr>
        <w:widowControl w:val="0"/>
        <w:spacing w:before="120" w:line="340" w:lineRule="exact"/>
        <w:ind w:firstLine="680"/>
        <w:jc w:val="both"/>
        <w:rPr>
          <w:spacing w:val="-2"/>
          <w:lang w:val="pt-BR"/>
        </w:rPr>
      </w:pPr>
      <w:r>
        <w:rPr>
          <w:spacing w:val="-2"/>
          <w:lang w:val="pt-BR"/>
        </w:rPr>
        <w:t>- Căn cứ</w:t>
      </w:r>
      <w:r w:rsidR="00461711" w:rsidRPr="00BF041C">
        <w:rPr>
          <w:spacing w:val="-2"/>
          <w:lang w:val="pt-BR"/>
        </w:rPr>
        <w:t xml:space="preserve"> điểm b khoản 2 Điều 15 Luật Ban hành văn bản quy phạm pháp luật, các cơ chế, chính sách dự kiến trong dự thảo Nghị quyết đều có nội dung khác với các luật hiện hành có liên quan và thuộc thẩm quyền ban hành của Quốc hội. </w:t>
      </w:r>
      <w:r w:rsidR="00B0319B" w:rsidRPr="00BF041C">
        <w:rPr>
          <w:spacing w:val="-2"/>
          <w:lang w:val="pt-BR"/>
        </w:rPr>
        <w:t xml:space="preserve">Do đó, để tạo điều kiện cho tỉnh </w:t>
      </w:r>
      <w:r w:rsidR="00B0319B">
        <w:rPr>
          <w:spacing w:val="-2"/>
          <w:lang w:val="pt-BR"/>
        </w:rPr>
        <w:t>Thừa Thiên Huế</w:t>
      </w:r>
      <w:r w:rsidR="00B0319B" w:rsidRPr="00BF041C">
        <w:rPr>
          <w:spacing w:val="-2"/>
          <w:lang w:val="pt-BR"/>
        </w:rPr>
        <w:t xml:space="preserve"> có thêm nguồn lực nhằm thực hiện được các nhiệm vụ phát triển kinh tế - xã hộ</w:t>
      </w:r>
      <w:r w:rsidR="00B0319B">
        <w:rPr>
          <w:spacing w:val="-2"/>
          <w:lang w:val="pt-BR"/>
        </w:rPr>
        <w:t>i, bảo tồn và phát huy các giá trị di tích cố đô và bản sắc văn hóa Huế được giao tại Nghị quyết số 54</w:t>
      </w:r>
      <w:r w:rsidR="00B0319B" w:rsidRPr="00BF041C">
        <w:rPr>
          <w:spacing w:val="-2"/>
          <w:lang w:val="pt-BR"/>
        </w:rPr>
        <w:t xml:space="preserve">-NQ/TW </w:t>
      </w:r>
      <w:r w:rsidR="00B0319B">
        <w:rPr>
          <w:spacing w:val="-2"/>
          <w:lang w:val="pt-BR"/>
        </w:rPr>
        <w:t xml:space="preserve">của Bộ Chính trị </w:t>
      </w:r>
      <w:r w:rsidR="00B0319B" w:rsidRPr="00BF041C">
        <w:rPr>
          <w:spacing w:val="-2"/>
          <w:lang w:val="pt-BR"/>
        </w:rPr>
        <w:t xml:space="preserve">thì việc ban hành Nghị quyết của Quốc hội về thí điểm một số cơ chế, chính sách đặc thù phát triển tỉnh </w:t>
      </w:r>
      <w:r w:rsidR="00B0319B">
        <w:rPr>
          <w:spacing w:val="-2"/>
          <w:lang w:val="pt-BR"/>
        </w:rPr>
        <w:t>Thừa Thiên Huế</w:t>
      </w:r>
      <w:r w:rsidR="00B0319B" w:rsidRPr="00BF041C">
        <w:rPr>
          <w:spacing w:val="-2"/>
          <w:lang w:val="pt-BR"/>
        </w:rPr>
        <w:t xml:space="preserve"> là cần thiết.</w:t>
      </w:r>
    </w:p>
    <w:p w14:paraId="1E02AC03" w14:textId="2EB786AE" w:rsidR="00461711" w:rsidRPr="00ED5053" w:rsidRDefault="00461711" w:rsidP="00BD688D">
      <w:pPr>
        <w:widowControl w:val="0"/>
        <w:spacing w:before="120" w:line="340" w:lineRule="exact"/>
        <w:ind w:firstLine="680"/>
        <w:jc w:val="both"/>
        <w:rPr>
          <w:b/>
          <w:lang w:val="pt-BR"/>
        </w:rPr>
      </w:pPr>
      <w:r w:rsidRPr="00ED5053">
        <w:rPr>
          <w:b/>
          <w:lang w:val="pt-BR"/>
        </w:rPr>
        <w:t xml:space="preserve">2. Mục đích, quan điểm </w:t>
      </w:r>
    </w:p>
    <w:p w14:paraId="4CC6D69C" w14:textId="77777777" w:rsidR="00B0319B" w:rsidRPr="00195AA5" w:rsidRDefault="00B0319B" w:rsidP="00BD688D">
      <w:pPr>
        <w:keepNext/>
        <w:spacing w:before="120" w:line="340" w:lineRule="exact"/>
        <w:ind w:firstLine="680"/>
        <w:jc w:val="both"/>
        <w:rPr>
          <w:lang w:val="pt-BR"/>
        </w:rPr>
      </w:pPr>
      <w:r w:rsidRPr="00ED5053">
        <w:rPr>
          <w:lang w:val="pt-BR"/>
        </w:rPr>
        <w:t>- Mục đích: Việc xây dựng dự thảo Nghị quyết nhằm cụ</w:t>
      </w:r>
      <w:r w:rsidRPr="00195AA5">
        <w:rPr>
          <w:lang w:val="pt-BR"/>
        </w:rPr>
        <w:t xml:space="preserve"> thể hóa chỉ đạo của Bộ Chính</w:t>
      </w:r>
      <w:r>
        <w:rPr>
          <w:lang w:val="pt-BR"/>
        </w:rPr>
        <w:t xml:space="preserve"> trị tại Nghị quyết số </w:t>
      </w:r>
      <w:r w:rsidRPr="00017882">
        <w:rPr>
          <w:lang w:val="pt-BR"/>
        </w:rPr>
        <w:t xml:space="preserve">54-NQ/TW </w:t>
      </w:r>
      <w:r>
        <w:rPr>
          <w:lang w:val="pt-BR"/>
        </w:rPr>
        <w:t>nhằm</w:t>
      </w:r>
      <w:r w:rsidRPr="00017882">
        <w:rPr>
          <w:lang w:val="pt-BR"/>
        </w:rPr>
        <w:t xml:space="preserve"> cơ chế, chính sách đặc thù cho tỉnh Thừa Thiên Huế trở thành thành phố trực thuộc trung ương trên nền tảng bảo tồn và phát huy giá trị di sản cố đô và bản sắc văn hóa Huế</w:t>
      </w:r>
      <w:r>
        <w:rPr>
          <w:lang w:val="pt-BR"/>
        </w:rPr>
        <w:t>.</w:t>
      </w:r>
      <w:r w:rsidRPr="00195AA5">
        <w:rPr>
          <w:lang w:val="pt-BR"/>
        </w:rPr>
        <w:t xml:space="preserve">    </w:t>
      </w:r>
    </w:p>
    <w:p w14:paraId="0323FA9D" w14:textId="3422DA73" w:rsidR="00B0319B" w:rsidRPr="00017882" w:rsidRDefault="00B0319B" w:rsidP="00BD688D">
      <w:pPr>
        <w:widowControl w:val="0"/>
        <w:spacing w:before="120" w:line="340" w:lineRule="exact"/>
        <w:ind w:firstLine="680"/>
        <w:jc w:val="both"/>
        <w:rPr>
          <w:spacing w:val="-2"/>
        </w:rPr>
      </w:pPr>
      <w:r w:rsidRPr="00DF59BD">
        <w:rPr>
          <w:lang w:val="pt-BR"/>
        </w:rPr>
        <w:t xml:space="preserve">- Quan điểm: </w:t>
      </w:r>
      <w:r>
        <w:rPr>
          <w:lang w:val="pt-BR"/>
        </w:rPr>
        <w:t>Trong dự thảo Tờ trình gửi Quốc hội đã nêu rõ các quan điểm về xây dựng dự thảo Nghị quyết,</w:t>
      </w:r>
      <w:r w:rsidR="002A377B">
        <w:rPr>
          <w:lang w:val="pt-BR"/>
        </w:rPr>
        <w:t xml:space="preserve"> </w:t>
      </w:r>
      <w:r>
        <w:rPr>
          <w:lang w:val="pt-BR"/>
        </w:rPr>
        <w:t xml:space="preserve">trong đó tập trung vào các quan điểm sau: </w:t>
      </w:r>
      <w:r w:rsidRPr="00A46B31">
        <w:t>(1) Bảo đảm tuân thủ quy định của Hiến pháp</w:t>
      </w:r>
      <w:r>
        <w:t xml:space="preserve"> </w:t>
      </w:r>
      <w:r w:rsidRPr="00A46B31">
        <w:t xml:space="preserve">và tính hệ thống của pháp luật; phù hợp với </w:t>
      </w:r>
      <w:r w:rsidRPr="00A46B31">
        <w:rPr>
          <w:iCs/>
          <w:lang w:val="nl-NL"/>
        </w:rPr>
        <w:t>Nghị quyết số 54-NQ/TW</w:t>
      </w:r>
      <w:r>
        <w:rPr>
          <w:iCs/>
          <w:lang w:val="nl-NL"/>
        </w:rPr>
        <w:t xml:space="preserve">; </w:t>
      </w:r>
      <w:r w:rsidRPr="00A46B31">
        <w:rPr>
          <w:spacing w:val="-4"/>
        </w:rPr>
        <w:t xml:space="preserve">(2) Quy định một số cơ chế, chính sách đặc thù phù hợp, thực sự cần thiết đối với yêu cầu phát triển bền vững, gắn với bảo </w:t>
      </w:r>
      <w:r w:rsidRPr="00A46B31">
        <w:rPr>
          <w:lang w:val="af-ZA"/>
        </w:rPr>
        <w:t xml:space="preserve">tồn các giá trị </w:t>
      </w:r>
      <w:r w:rsidRPr="00A46B31">
        <w:rPr>
          <w:lang w:val="af-ZA"/>
        </w:rPr>
        <w:lastRenderedPageBreak/>
        <w:t xml:space="preserve">di sản văn hóa quốc gia </w:t>
      </w:r>
      <w:r w:rsidRPr="00A46B31">
        <w:rPr>
          <w:spacing w:val="-4"/>
        </w:rPr>
        <w:t xml:space="preserve">trên địa bàn </w:t>
      </w:r>
      <w:r>
        <w:rPr>
          <w:spacing w:val="-4"/>
        </w:rPr>
        <w:t xml:space="preserve">tỉnh; </w:t>
      </w:r>
      <w:r w:rsidRPr="00A46B31">
        <w:rPr>
          <w:spacing w:val="-2"/>
        </w:rPr>
        <w:t xml:space="preserve">(3) Tăng tính tự chủ, tự chịu trách nhiệm của người đứng đầu, của chính quyền tỉnh Thừa Thiên Huế, đồng thời đảm bảo nhiệm vụ kiểm tra, giám sát của </w:t>
      </w:r>
      <w:r>
        <w:rPr>
          <w:spacing w:val="-2"/>
        </w:rPr>
        <w:t>các cấp;</w:t>
      </w:r>
      <w:r w:rsidRPr="00870986">
        <w:t xml:space="preserve"> (4) Cơ ch</w:t>
      </w:r>
      <w:r w:rsidRPr="00A46B31">
        <w:t xml:space="preserve">ế </w:t>
      </w:r>
      <w:r>
        <w:t xml:space="preserve">chính sách được </w:t>
      </w:r>
      <w:r w:rsidRPr="00A46B31">
        <w:t xml:space="preserve">đặt trong mối tương quan hợp lý với các </w:t>
      </w:r>
      <w:r>
        <w:t xml:space="preserve">địa phương </w:t>
      </w:r>
      <w:r w:rsidRPr="00A46B31">
        <w:t xml:space="preserve">khác trong cả nước, đồng thời </w:t>
      </w:r>
      <w:r w:rsidRPr="00870986">
        <w:t>b</w:t>
      </w:r>
      <w:r w:rsidRPr="00A46B31">
        <w:t>ảo đảm phù hợp với khả năng cân đối nguồn lực</w:t>
      </w:r>
      <w:r>
        <w:t xml:space="preserve"> của nhà nước.</w:t>
      </w:r>
    </w:p>
    <w:p w14:paraId="63FBF7AB" w14:textId="2D6A3065" w:rsidR="00B0319B" w:rsidRDefault="00461711" w:rsidP="00BD688D">
      <w:pPr>
        <w:widowControl w:val="0"/>
        <w:spacing w:before="120" w:line="340" w:lineRule="exact"/>
        <w:ind w:firstLine="680"/>
        <w:jc w:val="both"/>
        <w:rPr>
          <w:lang w:val="nl-NL"/>
        </w:rPr>
      </w:pPr>
      <w:r>
        <w:rPr>
          <w:rFonts w:ascii="Times New Roman Bold" w:hAnsi="Times New Roman Bold"/>
          <w:b/>
          <w:spacing w:val="-4"/>
          <w:lang w:val="pt-BR"/>
        </w:rPr>
        <w:t>3</w:t>
      </w:r>
      <w:r w:rsidRPr="00195AA5">
        <w:rPr>
          <w:b/>
          <w:lang w:val="pt-BR"/>
        </w:rPr>
        <w:t>. Bố cục</w:t>
      </w:r>
      <w:r w:rsidR="009C2785">
        <w:rPr>
          <w:b/>
          <w:lang w:val="pt-BR"/>
        </w:rPr>
        <w:t xml:space="preserve">: </w:t>
      </w:r>
      <w:r w:rsidR="00B0319B" w:rsidRPr="00195AA5">
        <w:rPr>
          <w:spacing w:val="-6"/>
          <w:lang w:val="pt-BR"/>
        </w:rPr>
        <w:t>Dự thảo Nghị quyết của Quốc hội được bố cục thành 08 Điều, cụ thể như sau:</w:t>
      </w:r>
      <w:r w:rsidR="00B0319B">
        <w:rPr>
          <w:spacing w:val="-6"/>
          <w:lang w:val="pt-BR"/>
        </w:rPr>
        <w:t xml:space="preserve"> </w:t>
      </w:r>
      <w:r w:rsidR="00B0319B">
        <w:rPr>
          <w:lang w:val="pt-BR"/>
        </w:rPr>
        <w:t>(1)</w:t>
      </w:r>
      <w:r w:rsidR="00B0319B" w:rsidRPr="00195AA5">
        <w:rPr>
          <w:lang w:val="pt-BR"/>
        </w:rPr>
        <w:t xml:space="preserve"> Phạm vi điều chỉnh</w:t>
      </w:r>
      <w:r w:rsidR="00B0319B">
        <w:rPr>
          <w:lang w:val="pt-BR"/>
        </w:rPr>
        <w:t>; (2)</w:t>
      </w:r>
      <w:r w:rsidR="00B0319B" w:rsidRPr="00195AA5">
        <w:rPr>
          <w:lang w:val="pt-BR"/>
        </w:rPr>
        <w:t xml:space="preserve"> Đối tượng áp dụng</w:t>
      </w:r>
      <w:r w:rsidR="00B0319B">
        <w:rPr>
          <w:lang w:val="pt-BR"/>
        </w:rPr>
        <w:t>; (3)</w:t>
      </w:r>
      <w:r w:rsidR="00B0319B" w:rsidRPr="00195AA5">
        <w:rPr>
          <w:lang w:val="pt-BR"/>
        </w:rPr>
        <w:t xml:space="preserve"> </w:t>
      </w:r>
      <w:r w:rsidR="00B0319B">
        <w:rPr>
          <w:lang w:val="pt-BR"/>
        </w:rPr>
        <w:t>Các cơ chế chính sách đặc thù (từ Điều 3 đến Điều 6)</w:t>
      </w:r>
      <w:r w:rsidR="00B0319B">
        <w:rPr>
          <w:lang w:val="nl-NL"/>
        </w:rPr>
        <w:t>; (7)</w:t>
      </w:r>
      <w:r w:rsidR="00B0319B" w:rsidRPr="00195AA5">
        <w:rPr>
          <w:lang w:val="nl-NL"/>
        </w:rPr>
        <w:t xml:space="preserve"> Tổ chức thực hiện</w:t>
      </w:r>
      <w:r w:rsidR="00B0319B">
        <w:rPr>
          <w:lang w:val="nl-NL"/>
        </w:rPr>
        <w:t>; (8)</w:t>
      </w:r>
      <w:r w:rsidR="00B0319B" w:rsidRPr="00195AA5">
        <w:rPr>
          <w:lang w:val="nl-NL"/>
        </w:rPr>
        <w:t xml:space="preserve"> Hiệu lực thi hành</w:t>
      </w:r>
      <w:r w:rsidR="00B0319B">
        <w:rPr>
          <w:lang w:val="nl-NL"/>
        </w:rPr>
        <w:t>.</w:t>
      </w:r>
    </w:p>
    <w:p w14:paraId="6E4AAAC9" w14:textId="303828F9" w:rsidR="00461711" w:rsidRDefault="00461711" w:rsidP="00BD688D">
      <w:pPr>
        <w:widowControl w:val="0"/>
        <w:spacing w:before="120" w:line="340" w:lineRule="exact"/>
        <w:ind w:firstLine="680"/>
        <w:jc w:val="both"/>
        <w:rPr>
          <w:lang w:val="nl-NL"/>
        </w:rPr>
      </w:pPr>
      <w:r>
        <w:rPr>
          <w:lang w:val="nl-NL"/>
        </w:rPr>
        <w:t>Sau đây, xin được trình bày chi tiết các nội dung của cơ chế, chính sách đặc thù như sau:</w:t>
      </w:r>
    </w:p>
    <w:p w14:paraId="4BB618DA" w14:textId="6DCFAAE7" w:rsidR="005B329C" w:rsidRPr="00705665" w:rsidRDefault="00295721" w:rsidP="00BD688D">
      <w:pPr>
        <w:spacing w:before="120" w:line="340" w:lineRule="exact"/>
        <w:ind w:firstLine="720"/>
        <w:jc w:val="both"/>
        <w:rPr>
          <w:spacing w:val="-4"/>
          <w:lang w:val="nl-NL"/>
        </w:rPr>
      </w:pPr>
      <w:r>
        <w:rPr>
          <w:bCs w:val="0"/>
          <w:lang w:val="cs-CZ"/>
        </w:rPr>
        <w:t>a)</w:t>
      </w:r>
      <w:r w:rsidR="005B329C" w:rsidRPr="00705665">
        <w:rPr>
          <w:bCs w:val="0"/>
          <w:lang w:val="cs-CZ"/>
        </w:rPr>
        <w:t xml:space="preserve"> Về phí tham quan di tích (Điều 3)</w:t>
      </w:r>
    </w:p>
    <w:p w14:paraId="23E43372" w14:textId="060D0E7D" w:rsidR="005B329C" w:rsidRPr="00A46B31" w:rsidRDefault="005B329C" w:rsidP="00BD688D">
      <w:pPr>
        <w:spacing w:before="120" w:line="340" w:lineRule="exact"/>
        <w:ind w:firstLine="720"/>
        <w:jc w:val="both"/>
        <w:rPr>
          <w:lang w:val="nl-NL"/>
        </w:rPr>
      </w:pPr>
      <w:r w:rsidRPr="00017882">
        <w:rPr>
          <w:i/>
          <w:spacing w:val="-4"/>
          <w:lang w:val="cs-CZ"/>
        </w:rPr>
        <w:t>Dự thảo Nghị quyết quy định:</w:t>
      </w:r>
      <w:r w:rsidRPr="00A46B31">
        <w:rPr>
          <w:lang w:val="nl-NL"/>
        </w:rPr>
        <w:t xml:space="preserve"> Phí tham quan di tích trên địa bàn tỉnh Thừa Thiên Huế được thu đầy đủ vào ngân sách nhà nước (sau khi trừ chi phí được trích để lại cho đơn vị sự nghiệp công lập để trang trải chi phí hoạt động cung cấp dịch vụ thu</w:t>
      </w:r>
      <w:r w:rsidR="005C2058">
        <w:rPr>
          <w:lang w:val="nl-NL"/>
        </w:rPr>
        <w:t xml:space="preserve"> phí theo quy định của Luật </w:t>
      </w:r>
      <w:r w:rsidR="00556E96">
        <w:rPr>
          <w:lang w:val="nl-NL"/>
        </w:rPr>
        <w:t>P</w:t>
      </w:r>
      <w:r w:rsidR="005C2058">
        <w:rPr>
          <w:lang w:val="nl-NL"/>
        </w:rPr>
        <w:t>hí và</w:t>
      </w:r>
      <w:r w:rsidRPr="00A46B31">
        <w:rPr>
          <w:lang w:val="nl-NL"/>
        </w:rPr>
        <w:t xml:space="preserve"> lệ phí và các văn bản hướng dẫn). Ngân sách địa phương được bố trí đầu tư tương ứng số thu phí tham quan nộp vào ngân sách nhà nước để thực hiện đầu tư trùng tu di tích lịch sử - văn hóa trên địa bàn.</w:t>
      </w:r>
    </w:p>
    <w:p w14:paraId="04966480" w14:textId="2E87EC7A" w:rsidR="005B329C" w:rsidRPr="00A46B31" w:rsidRDefault="005B329C" w:rsidP="00BD688D">
      <w:pPr>
        <w:shd w:val="clear" w:color="auto" w:fill="FFFFFF"/>
        <w:spacing w:before="120" w:line="340" w:lineRule="exact"/>
        <w:ind w:firstLine="720"/>
        <w:jc w:val="both"/>
        <w:rPr>
          <w:spacing w:val="-2"/>
        </w:rPr>
      </w:pPr>
      <w:r w:rsidRPr="00A46B31">
        <w:rPr>
          <w:lang w:val="vi-VN"/>
        </w:rPr>
        <w:t xml:space="preserve">Theo quy định tại </w:t>
      </w:r>
      <w:r w:rsidR="00A60A51">
        <w:t>k</w:t>
      </w:r>
      <w:r w:rsidRPr="00A46B31">
        <w:rPr>
          <w:lang w:val="vi-VN"/>
        </w:rPr>
        <w:t xml:space="preserve">hoản 1 Điều 12 Luật Phí và </w:t>
      </w:r>
      <w:r w:rsidR="00F7392D">
        <w:t>l</w:t>
      </w:r>
      <w:r w:rsidRPr="00A46B31">
        <w:rPr>
          <w:lang w:val="vi-VN"/>
        </w:rPr>
        <w:t>ệ phí</w:t>
      </w:r>
      <w:r w:rsidRPr="00A46B31">
        <w:rPr>
          <w:vertAlign w:val="superscript"/>
          <w:lang w:val="vi-VN"/>
        </w:rPr>
        <w:footnoteReference w:id="1"/>
      </w:r>
      <w:r w:rsidRPr="00A46B31">
        <w:rPr>
          <w:lang w:val="vi-VN"/>
        </w:rPr>
        <w:t xml:space="preserve">, nguồn thu phí tham quan di tích sau khi để lại một phần theo quyết định của cấp có thẩm quyền để chi trả cho các hoạt động liên quan đến việc thu phí; phần còn lại nộp ngân sách nhà nước. Theo quy định tại </w:t>
      </w:r>
      <w:r w:rsidR="00A60A51">
        <w:t>k</w:t>
      </w:r>
      <w:r w:rsidRPr="00A46B31">
        <w:rPr>
          <w:lang w:val="vi-VN"/>
        </w:rPr>
        <w:t>hoản 1 Điều 5 Luật NSNN</w:t>
      </w:r>
      <w:r w:rsidR="00556E96">
        <w:t xml:space="preserve"> </w:t>
      </w:r>
      <w:r w:rsidRPr="00A46B31">
        <w:rPr>
          <w:lang w:val="vi-VN"/>
        </w:rPr>
        <w:t>thì khoản thu phí tham quan di tích nộp ngân sách nhà nước này được tổng hợp chung vào cân đối ngân sách.</w:t>
      </w:r>
      <w:r>
        <w:t xml:space="preserve"> </w:t>
      </w:r>
      <w:r w:rsidRPr="00A46B31">
        <w:rPr>
          <w:spacing w:val="-2"/>
          <w:lang w:val="vi-VN"/>
        </w:rPr>
        <w:t xml:space="preserve">Tuy nhiên, theo quy định tại </w:t>
      </w:r>
      <w:r w:rsidR="00A60A51">
        <w:rPr>
          <w:spacing w:val="-2"/>
        </w:rPr>
        <w:t>k</w:t>
      </w:r>
      <w:r w:rsidRPr="00A46B31">
        <w:rPr>
          <w:spacing w:val="-2"/>
          <w:lang w:val="vi-VN"/>
        </w:rPr>
        <w:t>hoản 2, Điều 58 Luật Di sản</w:t>
      </w:r>
      <w:r w:rsidRPr="00A46B31">
        <w:rPr>
          <w:spacing w:val="-2"/>
        </w:rPr>
        <w:t xml:space="preserve"> văn hóa</w:t>
      </w:r>
      <w:r w:rsidRPr="00A46B31">
        <w:rPr>
          <w:spacing w:val="-2"/>
          <w:lang w:val="vi-VN"/>
        </w:rPr>
        <w:t xml:space="preserve">, khoản thu từ phí tham quan được thực hiện theo quy định của pháp luật về phí, lệ phí thuộc ngân sách nhà nước và khoản thu từ hoạt động dịch vụ tại di sản thế giới là nguồn tài chính phục vụ cho hoạt động bảo vệ và quản lý di sản thế giới, sau khi đã thực hiện nghĩa vụ thuế theo quy định của pháp luật, được sử dụng cho hoạt động trực tiếp liên quan đến việc quản lý và bảo vệ di sản thế giới. </w:t>
      </w:r>
    </w:p>
    <w:p w14:paraId="189A2BF0" w14:textId="77777777" w:rsidR="005B329C" w:rsidRPr="00A46B31" w:rsidRDefault="005B329C" w:rsidP="00BD688D">
      <w:pPr>
        <w:widowControl w:val="0"/>
        <w:spacing w:before="120" w:line="340" w:lineRule="exact"/>
        <w:ind w:firstLine="720"/>
        <w:jc w:val="both"/>
        <w:rPr>
          <w:spacing w:val="-2"/>
          <w:lang w:val="nl-NL"/>
        </w:rPr>
      </w:pPr>
      <w:r w:rsidRPr="00A46B31">
        <w:t>H</w:t>
      </w:r>
      <w:r w:rsidRPr="00A46B31">
        <w:rPr>
          <w:spacing w:val="-2"/>
          <w:lang w:val="nl-NL"/>
        </w:rPr>
        <w:t xml:space="preserve">iện nay nhu cầu vốn cho công tác bảo tồn, trùng tu di tích cố đô Huế khá lớn khoảng 1.000 tỷ đồng/năm, trong khi ngân sách tỉnh còn nhiều hạn chế. Do đó, nếu được để lại 100% nguồn thu phí tham quan nộp ngân sách nhà nước cho địa phương sử dụng cho công tác trùng tu, bảo tồn di tích thì bình quân một năm địa phương sẽ </w:t>
      </w:r>
      <w:r w:rsidRPr="00A46B31">
        <w:rPr>
          <w:spacing w:val="-2"/>
          <w:lang w:val="nl-NL"/>
        </w:rPr>
        <w:lastRenderedPageBreak/>
        <w:t>có thêm khoảng 260 tỷ đồng/năm</w:t>
      </w:r>
      <w:r>
        <w:rPr>
          <w:rStyle w:val="FootnoteReference"/>
          <w:spacing w:val="-2"/>
          <w:lang w:val="nl-NL"/>
        </w:rPr>
        <w:footnoteReference w:id="2"/>
      </w:r>
      <w:r w:rsidRPr="00A46B31">
        <w:rPr>
          <w:spacing w:val="-2"/>
          <w:lang w:val="nl-NL"/>
        </w:rPr>
        <w:t xml:space="preserve"> để cùng với nguồn vốn đầu tư công, vốn ngân sách địa phương và các nguồn vốn xã hội hóa hợp pháp khác</w:t>
      </w:r>
      <w:r>
        <w:rPr>
          <w:spacing w:val="-2"/>
          <w:lang w:val="nl-NL"/>
        </w:rPr>
        <w:t xml:space="preserve"> để</w:t>
      </w:r>
      <w:r w:rsidRPr="00A46B31">
        <w:rPr>
          <w:spacing w:val="-2"/>
          <w:lang w:val="nl-NL"/>
        </w:rPr>
        <w:t xml:space="preserve"> đầu tư đẩy nhanh công tác trùng tu, bảo tồn di tích, giảm thiểu mức độ xuống cấp</w:t>
      </w:r>
      <w:r>
        <w:rPr>
          <w:spacing w:val="-2"/>
          <w:lang w:val="nl-NL"/>
        </w:rPr>
        <w:t xml:space="preserve"> của các di tích.</w:t>
      </w:r>
    </w:p>
    <w:p w14:paraId="6D945AD2" w14:textId="1EBB1694" w:rsidR="005B329C" w:rsidRPr="00705665" w:rsidRDefault="00295721" w:rsidP="00BD688D">
      <w:pPr>
        <w:spacing w:before="120" w:line="340" w:lineRule="exact"/>
        <w:ind w:firstLine="720"/>
        <w:jc w:val="both"/>
      </w:pPr>
      <w:r>
        <w:t>b)</w:t>
      </w:r>
      <w:r w:rsidR="005B329C" w:rsidRPr="00705665">
        <w:rPr>
          <w:lang w:val="vi-VN"/>
        </w:rPr>
        <w:t xml:space="preserve"> </w:t>
      </w:r>
      <w:r w:rsidR="005B329C" w:rsidRPr="00705665">
        <w:t>Về thành lập Quỹ Bảo tồn di sản Huế (Điều 4)</w:t>
      </w:r>
    </w:p>
    <w:p w14:paraId="6F6D12D0" w14:textId="77777777" w:rsidR="005B329C" w:rsidRPr="00A46B31" w:rsidRDefault="005B329C" w:rsidP="00BD688D">
      <w:pPr>
        <w:spacing w:before="120" w:line="340" w:lineRule="exact"/>
        <w:ind w:firstLine="720"/>
        <w:jc w:val="both"/>
        <w:rPr>
          <w:lang w:val="vi-VN"/>
        </w:rPr>
      </w:pPr>
      <w:r w:rsidRPr="00017882">
        <w:rPr>
          <w:i/>
          <w:spacing w:val="-4"/>
          <w:lang w:val="vi-VN"/>
        </w:rPr>
        <w:t>Dự thảo Nghị quyết quy định:</w:t>
      </w:r>
      <w:r w:rsidRPr="00A46B31">
        <w:t xml:space="preserve"> </w:t>
      </w:r>
      <w:r w:rsidRPr="00A46B31">
        <w:rPr>
          <w:lang w:val="vi-VN"/>
        </w:rPr>
        <w:t>Cho phép tỉnh Thừa Thiên Huế được thành lập Quỹ bảo tồn di sản Huế để bổ sung nguồn lực phục vụ công tác trùng tu, bảo tồn di sản văn hóa</w:t>
      </w:r>
      <w:r w:rsidRPr="00870986">
        <w:rPr>
          <w:lang w:val="nl-NL"/>
        </w:rPr>
        <w:t xml:space="preserve"> </w:t>
      </w:r>
      <w:r w:rsidRPr="00A46B31">
        <w:rPr>
          <w:lang w:val="vi-VN"/>
        </w:rPr>
        <w:t>trên địa bàn tỉnh. Quỹ được tiếp nhận từ nguồn ngân sách nhà nước của các tỉnh, thành phố trực thuộc Trung ương hỗ trợ, nguồn tài trợ của các tổ chức, cá nhân trong và ngoài nước</w:t>
      </w:r>
      <w:r w:rsidRPr="00A46B31">
        <w:t xml:space="preserve"> và các ngu</w:t>
      </w:r>
      <w:r>
        <w:t>ồ</w:t>
      </w:r>
      <w:r w:rsidRPr="00870986">
        <w:t>n thu hợp pháp khác</w:t>
      </w:r>
      <w:r w:rsidRPr="00A46B31">
        <w:rPr>
          <w:lang w:val="vi-VN"/>
        </w:rPr>
        <w:t>; đồng thời cho phép các tỉnh, thành phố trực thuộc Trung ương sử dụng ngân sách do cấp mình quản lý hỗ trợ cho tỉnh Thừa Thiên Huế để phục vụ công tác trùng tu, bảo tồn và phát huy giá trị di sản Huế.</w:t>
      </w:r>
      <w:r w:rsidRPr="00A46B31">
        <w:t xml:space="preserve"> </w:t>
      </w:r>
      <w:r w:rsidRPr="00A46B31">
        <w:rPr>
          <w:lang w:val="vi-VN"/>
        </w:rPr>
        <w:t xml:space="preserve">Quỹ bảo tồn di sản Huế là Quỹ quốc gia được Chính phủ </w:t>
      </w:r>
      <w:r w:rsidRPr="00870986">
        <w:t xml:space="preserve">cho phép </w:t>
      </w:r>
      <w:r w:rsidRPr="00A46B31">
        <w:rPr>
          <w:lang w:val="vi-VN"/>
        </w:rPr>
        <w:t>thành lập và giao cho tỉnh Thừa Thiên Huế trực tiếp quản lý</w:t>
      </w:r>
      <w:r w:rsidRPr="00A46B31">
        <w:t xml:space="preserve">. </w:t>
      </w:r>
      <w:r w:rsidRPr="00870986">
        <w:t>Chính phủ quy định chi tiết về việc thành lập và quy chế hoạt động của Quỹ.</w:t>
      </w:r>
    </w:p>
    <w:p w14:paraId="46779E63" w14:textId="2AF1CCA0" w:rsidR="005B329C" w:rsidRPr="00870986" w:rsidRDefault="005B329C" w:rsidP="00BD688D">
      <w:pPr>
        <w:spacing w:before="120" w:line="340" w:lineRule="exact"/>
        <w:ind w:firstLine="720"/>
        <w:jc w:val="both"/>
        <w:rPr>
          <w:spacing w:val="-2"/>
        </w:rPr>
      </w:pPr>
      <w:r w:rsidRPr="00870986">
        <w:rPr>
          <w:spacing w:val="-2"/>
          <w:lang w:val="vi-VN"/>
        </w:rPr>
        <w:t xml:space="preserve">Nhu cầu vốn đầu tư trùng tu quần thể </w:t>
      </w:r>
      <w:r w:rsidRPr="00870986">
        <w:rPr>
          <w:spacing w:val="-2"/>
        </w:rPr>
        <w:t xml:space="preserve">di tích cố đô và các công trình </w:t>
      </w:r>
      <w:r w:rsidRPr="00870986">
        <w:rPr>
          <w:spacing w:val="-2"/>
          <w:lang w:val="vi-VN"/>
        </w:rPr>
        <w:t xml:space="preserve">di sản văn hóa Huế là </w:t>
      </w:r>
      <w:r w:rsidRPr="00870986">
        <w:rPr>
          <w:spacing w:val="-2"/>
        </w:rPr>
        <w:t>rất</w:t>
      </w:r>
      <w:r w:rsidRPr="00870986">
        <w:rPr>
          <w:spacing w:val="-2"/>
          <w:lang w:val="vi-VN"/>
        </w:rPr>
        <w:t xml:space="preserve"> lớn</w:t>
      </w:r>
      <w:r>
        <w:rPr>
          <w:spacing w:val="-2"/>
        </w:rPr>
        <w:t xml:space="preserve"> khoảng 1.000 tỷ đồng/năm</w:t>
      </w:r>
      <w:r w:rsidRPr="00870986">
        <w:rPr>
          <w:spacing w:val="-2"/>
          <w:lang w:val="vi-VN"/>
        </w:rPr>
        <w:t xml:space="preserve"> nhưng nguồn vốn từ ngân sách nhà nước đã bố trí trong những năm qua </w:t>
      </w:r>
      <w:r w:rsidRPr="00870986">
        <w:rPr>
          <w:spacing w:val="-2"/>
        </w:rPr>
        <w:t>không đáp ứng được nhu cầu</w:t>
      </w:r>
      <w:r w:rsidRPr="00870986">
        <w:rPr>
          <w:spacing w:val="-2"/>
          <w:lang w:val="vi-VN"/>
        </w:rPr>
        <w:t>. Bên cạnh những di sản do nhà nước trực tiếp quản lý, có nhiều di sản văn hóa Huế thuộc sở hữu của các tổ chức, cộng đồng dân cư, cá nhân (không do nhà nước quản lý) như nhà rường, đình làng, miếu…đang xuống cấp nghiêm trọng cần huy động nguồn lực toàn xã hội để hỗ trợ bảo tồn, tôn tạo.</w:t>
      </w:r>
      <w:r w:rsidRPr="00870986">
        <w:rPr>
          <w:spacing w:val="-2"/>
        </w:rPr>
        <w:t xml:space="preserve"> </w:t>
      </w:r>
    </w:p>
    <w:p w14:paraId="76041A4C" w14:textId="628D7608" w:rsidR="005B329C" w:rsidRDefault="005B329C" w:rsidP="00BD688D">
      <w:pPr>
        <w:spacing w:before="120" w:line="340" w:lineRule="exact"/>
        <w:ind w:firstLine="720"/>
        <w:jc w:val="both"/>
      </w:pPr>
      <w:r w:rsidRPr="00A46B31">
        <w:t>T</w:t>
      </w:r>
      <w:r w:rsidRPr="00A46B31">
        <w:rPr>
          <w:lang w:val="vi-VN"/>
        </w:rPr>
        <w:t xml:space="preserve">heo quy định tại </w:t>
      </w:r>
      <w:r w:rsidRPr="00A46B31">
        <w:rPr>
          <w:shd w:val="clear" w:color="auto" w:fill="FFFFFF"/>
          <w:lang w:val="vi-VN"/>
        </w:rPr>
        <w:t xml:space="preserve">điểm a, b và c </w:t>
      </w:r>
      <w:r w:rsidR="00A60A51">
        <w:rPr>
          <w:shd w:val="clear" w:color="auto" w:fill="FFFFFF"/>
        </w:rPr>
        <w:t>k</w:t>
      </w:r>
      <w:r w:rsidRPr="00A46B31">
        <w:rPr>
          <w:shd w:val="clear" w:color="auto" w:fill="FFFFFF"/>
          <w:lang w:val="vi-VN"/>
        </w:rPr>
        <w:t xml:space="preserve">hoản 9 Điều 9 </w:t>
      </w:r>
      <w:r w:rsidRPr="00A46B31">
        <w:rPr>
          <w:shd w:val="clear" w:color="auto" w:fill="FFFFFF"/>
        </w:rPr>
        <w:t xml:space="preserve">Luật Ngân sách nhà nước </w:t>
      </w:r>
      <w:r w:rsidRPr="00A46B31">
        <w:rPr>
          <w:shd w:val="clear" w:color="auto" w:fill="FFFFFF"/>
          <w:lang w:val="vi-VN"/>
        </w:rPr>
        <w:t>quy định “</w:t>
      </w:r>
      <w:r w:rsidRPr="00A46B31">
        <w:rPr>
          <w:i/>
          <w:lang w:val="vi-VN"/>
        </w:rPr>
        <w:t>Không được dùng ngân sách của cấp này để chi cho nhiệm vụ của cấp khác và không được dùng ngân sách của địa phương này để chi cho nhiệm vụ của địa phương khác</w:t>
      </w:r>
      <w:r w:rsidRPr="00A46B31">
        <w:rPr>
          <w:i/>
        </w:rPr>
        <w:t>…</w:t>
      </w:r>
      <w:r w:rsidRPr="00A46B31">
        <w:rPr>
          <w:i/>
          <w:lang w:val="vi-VN"/>
        </w:rPr>
        <w:t>”.</w:t>
      </w:r>
      <w:r w:rsidRPr="00A46B31">
        <w:rPr>
          <w:i/>
        </w:rPr>
        <w:t xml:space="preserve"> </w:t>
      </w:r>
      <w:r w:rsidRPr="000A7B51">
        <w:t>Đồng thời, t</w:t>
      </w:r>
      <w:r w:rsidRPr="000A7B51">
        <w:rPr>
          <w:spacing w:val="-2"/>
        </w:rPr>
        <w:t>heo</w:t>
      </w:r>
      <w:r w:rsidRPr="00870986">
        <w:rPr>
          <w:spacing w:val="-2"/>
        </w:rPr>
        <w:t xml:space="preserve"> quy định tại khoản 2 Điều 4 </w:t>
      </w:r>
      <w:r w:rsidRPr="00870986">
        <w:rPr>
          <w:color w:val="000000"/>
          <w:spacing w:val="-2"/>
        </w:rPr>
        <w:t xml:space="preserve">Nghị định số 93/2019/NĐ-CP ngày 25/11/2019 của Chính phủ quy định </w:t>
      </w:r>
      <w:r w:rsidRPr="00870986">
        <w:rPr>
          <w:color w:val="000000"/>
          <w:spacing w:val="-2"/>
          <w:lang w:val="vi-VN"/>
        </w:rPr>
        <w:t>về tổ chức, hoạt động</w:t>
      </w:r>
      <w:r w:rsidRPr="00870986">
        <w:rPr>
          <w:color w:val="000000"/>
          <w:spacing w:val="-2"/>
        </w:rPr>
        <w:t xml:space="preserve"> của</w:t>
      </w:r>
      <w:r w:rsidRPr="00870986">
        <w:rPr>
          <w:color w:val="000000"/>
          <w:spacing w:val="-2"/>
          <w:lang w:val="vi-VN"/>
        </w:rPr>
        <w:t xml:space="preserve"> quỹ xã hội, quỹ từ thiện</w:t>
      </w:r>
      <w:r w:rsidRPr="00870986">
        <w:rPr>
          <w:color w:val="000000"/>
          <w:spacing w:val="-2"/>
        </w:rPr>
        <w:t xml:space="preserve"> thì “</w:t>
      </w:r>
      <w:r w:rsidRPr="00870986">
        <w:rPr>
          <w:i/>
          <w:color w:val="000000"/>
          <w:spacing w:val="-2"/>
          <w:lang w:val="vi-VN"/>
        </w:rPr>
        <w:t>Quỹ xã hội: Là quỹ được tổ chức, hoạt động với mục đích hỗ trợ và khuyến khích phát triển văn hóa, giáo dục, y tế, thể dục, thể thao, khoa học và phát triển nông nghiệp, nông thôn, không vì mục tiêu lợi nhuận.</w:t>
      </w:r>
      <w:r w:rsidRPr="00870986">
        <w:rPr>
          <w:i/>
          <w:color w:val="000000"/>
          <w:spacing w:val="-2"/>
        </w:rPr>
        <w:t>”.</w:t>
      </w:r>
      <w:r w:rsidRPr="00870986">
        <w:rPr>
          <w:spacing w:val="-2"/>
        </w:rPr>
        <w:t xml:space="preserve"> </w:t>
      </w:r>
      <w:r w:rsidRPr="00A46B31">
        <w:t>Căn cứ nguồn tài chính và mục đích thành lập thì Quỹ bảo tồn di sản Huế thuộc loại hình đặc thù kết hợp giữa quỹ tài chính nhà nước ngoài ngân sách và quỹ xã hội. Qu</w:t>
      </w:r>
      <w:r w:rsidRPr="00A46B31">
        <w:rPr>
          <w:lang w:val="vi-VN"/>
        </w:rPr>
        <w:t xml:space="preserve">ỹ </w:t>
      </w:r>
      <w:r w:rsidRPr="00A46B31">
        <w:t xml:space="preserve">được thành lập </w:t>
      </w:r>
      <w:r w:rsidRPr="00A46B31">
        <w:rPr>
          <w:lang w:val="vi-VN"/>
        </w:rPr>
        <w:t>để sử dụng riêng</w:t>
      </w:r>
      <w:r w:rsidRPr="00A46B31">
        <w:t xml:space="preserve"> </w:t>
      </w:r>
      <w:r w:rsidRPr="00A46B31">
        <w:rPr>
          <w:lang w:val="vi-VN"/>
        </w:rPr>
        <w:t>cho công tác bảo tồn di sản</w:t>
      </w:r>
      <w:r w:rsidRPr="00A46B31">
        <w:t xml:space="preserve"> văn hóa; </w:t>
      </w:r>
      <w:r w:rsidRPr="00A46B31">
        <w:rPr>
          <w:lang w:val="vi-VN"/>
        </w:rPr>
        <w:t>nhằm tăng cường huy động vốn đầu tư của khu vực kinh tế tư nhân và nhận hỗ trợ của nguồn ngân sách nhà nước của các tỉnh, thành phố trong nước</w:t>
      </w:r>
      <w:r w:rsidRPr="00A46B31">
        <w:t xml:space="preserve"> có mong muốn được đóng góp tài chính </w:t>
      </w:r>
      <w:r w:rsidRPr="00A46B31">
        <w:rPr>
          <w:lang w:val="vi-VN"/>
        </w:rPr>
        <w:t>để</w:t>
      </w:r>
      <w:r w:rsidRPr="00A46B31">
        <w:t xml:space="preserve"> chung tay thực hiện công tác</w:t>
      </w:r>
      <w:r w:rsidRPr="00A46B31">
        <w:rPr>
          <w:lang w:val="vi-VN"/>
        </w:rPr>
        <w:t xml:space="preserve"> trùng tu</w:t>
      </w:r>
      <w:r w:rsidRPr="00A46B31">
        <w:t xml:space="preserve">, bảo tồn </w:t>
      </w:r>
      <w:r w:rsidRPr="00A46B31">
        <w:rPr>
          <w:lang w:val="vi-VN"/>
        </w:rPr>
        <w:t>di sản</w:t>
      </w:r>
      <w:r w:rsidRPr="00A46B31">
        <w:t xml:space="preserve"> quốc gia và thế giới trên địa bàn tỉnh</w:t>
      </w:r>
      <w:r>
        <w:t>.</w:t>
      </w:r>
    </w:p>
    <w:p w14:paraId="1671C9C0" w14:textId="1943D8AA" w:rsidR="005B329C" w:rsidRPr="00A46B31" w:rsidRDefault="005B329C" w:rsidP="00BD688D">
      <w:pPr>
        <w:tabs>
          <w:tab w:val="left" w:pos="1134"/>
        </w:tabs>
        <w:spacing w:before="120" w:line="340" w:lineRule="exact"/>
        <w:ind w:firstLine="720"/>
        <w:jc w:val="both"/>
      </w:pPr>
      <w:r>
        <w:t>Tại Hồ sơ dự thảo Nghị quyết Quốc hội đã bao gồm dự thảo Nghị định của Chính phủ về thành lập và hoạt động của Quỹ Bảo tồn di sản Huế.</w:t>
      </w:r>
    </w:p>
    <w:p w14:paraId="26559335" w14:textId="270B0130" w:rsidR="005B329C" w:rsidRPr="00705665" w:rsidRDefault="00295721" w:rsidP="00BD688D">
      <w:pPr>
        <w:tabs>
          <w:tab w:val="left" w:pos="993"/>
        </w:tabs>
        <w:spacing w:before="120" w:line="340" w:lineRule="exact"/>
        <w:ind w:firstLine="720"/>
        <w:jc w:val="both"/>
        <w:rPr>
          <w:spacing w:val="-4"/>
          <w:lang w:val="nl-NL"/>
        </w:rPr>
      </w:pPr>
      <w:r>
        <w:rPr>
          <w:lang w:val="nl-NL"/>
        </w:rPr>
        <w:lastRenderedPageBreak/>
        <w:t>c)</w:t>
      </w:r>
      <w:r w:rsidR="005B329C" w:rsidRPr="00705665">
        <w:rPr>
          <w:lang w:val="nl-NL"/>
        </w:rPr>
        <w:t xml:space="preserve"> </w:t>
      </w:r>
      <w:r w:rsidR="005B329C" w:rsidRPr="00705665">
        <w:rPr>
          <w:spacing w:val="-4"/>
          <w:lang w:val="nl-NL"/>
        </w:rPr>
        <w:t xml:space="preserve">Về quy định mức dư </w:t>
      </w:r>
      <w:r w:rsidR="00556E96" w:rsidRPr="00705665">
        <w:rPr>
          <w:spacing w:val="-4"/>
          <w:lang w:val="nl-NL"/>
        </w:rPr>
        <w:t xml:space="preserve">nợ </w:t>
      </w:r>
      <w:r w:rsidR="005B329C" w:rsidRPr="00705665">
        <w:rPr>
          <w:spacing w:val="-4"/>
          <w:lang w:val="nl-NL"/>
        </w:rPr>
        <w:t xml:space="preserve">vay </w:t>
      </w:r>
      <w:r w:rsidR="00556E96" w:rsidRPr="00705665">
        <w:rPr>
          <w:spacing w:val="-4"/>
          <w:lang w:val="nl-NL"/>
        </w:rPr>
        <w:t>(</w:t>
      </w:r>
      <w:r w:rsidR="005B329C" w:rsidRPr="00705665">
        <w:rPr>
          <w:spacing w:val="-4"/>
          <w:lang w:val="nl-NL"/>
        </w:rPr>
        <w:t>Điều 5)</w:t>
      </w:r>
    </w:p>
    <w:p w14:paraId="3BFD2488" w14:textId="77777777" w:rsidR="005B329C" w:rsidRPr="00A46B31" w:rsidRDefault="005B329C" w:rsidP="00BD688D">
      <w:pPr>
        <w:tabs>
          <w:tab w:val="left" w:pos="993"/>
        </w:tabs>
        <w:spacing w:before="120" w:line="340" w:lineRule="exact"/>
        <w:ind w:firstLine="720"/>
        <w:jc w:val="both"/>
        <w:rPr>
          <w:rFonts w:eastAsia="Calibri"/>
          <w:bCs w:val="0"/>
          <w:lang w:val="cs-CZ"/>
        </w:rPr>
      </w:pPr>
      <w:r w:rsidRPr="000A7B51">
        <w:rPr>
          <w:i/>
          <w:spacing w:val="-4"/>
          <w:lang w:val="vi-VN"/>
        </w:rPr>
        <w:t>Dự thảo Nghị quyết quy định</w:t>
      </w:r>
      <w:r w:rsidRPr="00A46B31">
        <w:rPr>
          <w:spacing w:val="-4"/>
          <w:lang w:val="vi-VN"/>
        </w:rPr>
        <w:t>:</w:t>
      </w:r>
      <w:r w:rsidRPr="00A46B31">
        <w:rPr>
          <w:rFonts w:eastAsia="Calibri"/>
          <w:bCs w:val="0"/>
          <w:lang w:val="cs-CZ"/>
        </w:rPr>
        <w:t xml:space="preserve"> Mứ</w:t>
      </w:r>
      <w:r>
        <w:rPr>
          <w:rFonts w:eastAsia="Calibri"/>
          <w:bCs w:val="0"/>
          <w:lang w:val="cs-CZ"/>
        </w:rPr>
        <w:t xml:space="preserve">c </w:t>
      </w:r>
      <w:r w:rsidRPr="00A46B31">
        <w:rPr>
          <w:rFonts w:eastAsia="Calibri"/>
          <w:bCs w:val="0"/>
          <w:lang w:val="cs-CZ"/>
        </w:rPr>
        <w:t>dư nợ vay của ngân sách tỉnh Thừa Thiên Huế không vượt quá 40% với thu ngân sách tỉnh Thừa Thiên Huế được hưởng theo phân cấp. Thu ngân sách tỉnh Thừa Thiên Huế được xác định trên cơ sở dự toán thu ngân sách tỉnh Thừa Thiên Huế được Quốc hội quyết định của năm dự toán. Tổng mức vay và bội chi ngân sách tỉnh Thừa Thiên Huế hằng năm do Quốc hội quyết định theo quy định của Luật Ngân sách Nhà nước.</w:t>
      </w:r>
    </w:p>
    <w:p w14:paraId="796F4BCC" w14:textId="0BEC1930" w:rsidR="005B329C" w:rsidRPr="00A46B31" w:rsidRDefault="005B329C" w:rsidP="00BD688D">
      <w:pPr>
        <w:tabs>
          <w:tab w:val="left" w:pos="993"/>
        </w:tabs>
        <w:spacing w:before="120" w:line="340" w:lineRule="exact"/>
        <w:ind w:firstLine="720"/>
        <w:jc w:val="both"/>
        <w:rPr>
          <w:lang w:val="vi-VN"/>
        </w:rPr>
      </w:pPr>
      <w:r w:rsidRPr="00A46B31">
        <w:rPr>
          <w:lang w:val="vi-VN"/>
        </w:rPr>
        <w:t xml:space="preserve">Theo quy định tại </w:t>
      </w:r>
      <w:r w:rsidR="00F7392D">
        <w:t>k</w:t>
      </w:r>
      <w:r w:rsidRPr="00A46B31">
        <w:rPr>
          <w:lang w:val="vi-VN"/>
        </w:rPr>
        <w:t>hoả</w:t>
      </w:r>
      <w:r w:rsidR="00F7392D">
        <w:rPr>
          <w:lang w:val="vi-VN"/>
        </w:rPr>
        <w:t>n 6, Điều 7 của Luật Ngân sách N</w:t>
      </w:r>
      <w:r w:rsidRPr="00A46B31">
        <w:rPr>
          <w:lang w:val="vi-VN"/>
        </w:rPr>
        <w:t>hà nước 2015</w:t>
      </w:r>
      <w:r w:rsidRPr="00A46B31">
        <w:rPr>
          <w:vertAlign w:val="superscript"/>
          <w:lang w:val="vi-VN"/>
        </w:rPr>
        <w:footnoteReference w:id="3"/>
      </w:r>
      <w:r w:rsidRPr="00A46B31">
        <w:rPr>
          <w:lang w:val="vi-VN"/>
        </w:rPr>
        <w:t>, tỉnh Thừa Thiên Huế được áp dụng mức dư nợ vay không quá 20% số thu ngân sách được hưởng theo phân cấp</w:t>
      </w:r>
      <w:r w:rsidRPr="00A46B31">
        <w:rPr>
          <w:vertAlign w:val="superscript"/>
          <w:lang w:val="vi-VN"/>
        </w:rPr>
        <w:footnoteReference w:id="4"/>
      </w:r>
      <w:r>
        <w:t xml:space="preserve"> </w:t>
      </w:r>
      <w:r w:rsidRPr="00A46B31">
        <w:rPr>
          <w:lang w:val="vi-VN"/>
        </w:rPr>
        <w:t>(</w:t>
      </w:r>
      <w:r w:rsidRPr="00A46B31">
        <w:rPr>
          <w:i/>
          <w:lang w:val="vi-VN"/>
        </w:rPr>
        <w:t>khoảng 1.293 tỷ đồng/năm tính theo ngân sách tỉnh hưởng theo phân cấp năm 2019</w:t>
      </w:r>
      <w:r w:rsidRPr="00A46B31">
        <w:rPr>
          <w:lang w:val="vi-VN"/>
        </w:rPr>
        <w:t xml:space="preserve">); tuy nhiên, nhu cầu đầu tư xây dựng phát triển Thừa Thiên Huế trở thành thành phố trực thuộc Trung ương là rất lớn </w:t>
      </w:r>
      <w:r w:rsidRPr="00A46B31">
        <w:rPr>
          <w:i/>
          <w:lang w:val="vi-VN"/>
        </w:rPr>
        <w:t>(dự kiến khoảng 10.000 tỷ đồng/năm, trong đó vốn trùng tu, bảo tồn di tích khoảng 1.000 tỷ đồng/năm</w:t>
      </w:r>
      <w:r w:rsidR="00F7392D">
        <w:rPr>
          <w:lang w:val="vi-VN"/>
        </w:rPr>
        <w:t>). Trong khi</w:t>
      </w:r>
      <w:r w:rsidRPr="00A46B31">
        <w:rPr>
          <w:lang w:val="vi-VN"/>
        </w:rPr>
        <w:t xml:space="preserve"> thu ngân sách của địa phương còn gặp nhiều khó khăn, nguồn lực hỗ trợ của Trung ương và các nguồn vốn huy động khác còn hạn chế nên cân đối ngân sách địa phương không thể đáp ứng được nhu cầu phát triển khi Thừa Thiên Huế trở thành thành phố trực thuộc Trung ương.</w:t>
      </w:r>
    </w:p>
    <w:p w14:paraId="3DBBBB82" w14:textId="77777777" w:rsidR="005B329C" w:rsidRPr="00870986" w:rsidRDefault="005B329C" w:rsidP="00BD688D">
      <w:pPr>
        <w:tabs>
          <w:tab w:val="left" w:pos="567"/>
          <w:tab w:val="left" w:pos="993"/>
        </w:tabs>
        <w:spacing w:before="120" w:line="340" w:lineRule="exact"/>
        <w:ind w:firstLine="720"/>
        <w:jc w:val="both"/>
        <w:rPr>
          <w:b/>
        </w:rPr>
      </w:pPr>
      <w:r w:rsidRPr="00870986">
        <w:rPr>
          <w:lang w:val="vi-VN"/>
        </w:rPr>
        <w:t>Việc đề xuất mức dư nợ vay tối đa là 40% (tương đương mức dư nợ vay khoảng 2.587 tỷ đồng) sẽ giúp địa phương đảm bảo trần vay nợ để triển khai các dự án đã và đang thực hiện; chủ động cân đối nguồn lực trong kế hoạch đầu tư công</w:t>
      </w:r>
      <w:r w:rsidRPr="00870986">
        <w:t>.</w:t>
      </w:r>
      <w:r>
        <w:t xml:space="preserve"> Hiện nay, Quốc hội đã cho phép TP. Hồ Chí Minh, Hà Nội và Đà Nẵng được áp dụng chính sách đặc thù tương tự này.</w:t>
      </w:r>
    </w:p>
    <w:p w14:paraId="6615415E" w14:textId="746E250D" w:rsidR="005B329C" w:rsidRPr="00705665" w:rsidRDefault="00295721" w:rsidP="00BD688D">
      <w:pPr>
        <w:tabs>
          <w:tab w:val="left" w:pos="567"/>
          <w:tab w:val="left" w:pos="993"/>
        </w:tabs>
        <w:spacing w:before="120" w:line="340" w:lineRule="exact"/>
        <w:ind w:firstLine="720"/>
        <w:jc w:val="both"/>
      </w:pPr>
      <w:r>
        <w:rPr>
          <w:lang w:val="cs-CZ"/>
        </w:rPr>
        <w:t>d)</w:t>
      </w:r>
      <w:r w:rsidR="005B329C" w:rsidRPr="00705665">
        <w:rPr>
          <w:lang w:val="cs-CZ"/>
        </w:rPr>
        <w:t xml:space="preserve"> </w:t>
      </w:r>
      <w:r w:rsidR="005B329C" w:rsidRPr="00705665">
        <w:t xml:space="preserve">Về </w:t>
      </w:r>
      <w:r w:rsidR="005B329C" w:rsidRPr="00705665">
        <w:rPr>
          <w:shd w:val="clear" w:color="auto" w:fill="FFFFFF"/>
          <w:lang w:val="vi-VN"/>
        </w:rPr>
        <w:t>sắp xếp, xử lý các cơ sở nhà đất</w:t>
      </w:r>
      <w:r w:rsidR="005B329C" w:rsidRPr="00705665">
        <w:rPr>
          <w:spacing w:val="-4"/>
          <w:lang w:val="vi-VN"/>
        </w:rPr>
        <w:t xml:space="preserve"> </w:t>
      </w:r>
      <w:r w:rsidR="005B329C" w:rsidRPr="00705665">
        <w:rPr>
          <w:shd w:val="clear" w:color="auto" w:fill="FFFFFF"/>
          <w:lang w:val="vi-VN"/>
        </w:rPr>
        <w:t>do các cơ quan, tổ chức, đơn vị thuộc Trung ương quản lý</w:t>
      </w:r>
      <w:r w:rsidR="005B329C" w:rsidRPr="00705665">
        <w:rPr>
          <w:shd w:val="clear" w:color="auto" w:fill="FFFFFF"/>
        </w:rPr>
        <w:t xml:space="preserve"> (Điều 6)</w:t>
      </w:r>
    </w:p>
    <w:p w14:paraId="58799681" w14:textId="77777777" w:rsidR="005B329C" w:rsidRDefault="005B329C" w:rsidP="00BD688D">
      <w:pPr>
        <w:tabs>
          <w:tab w:val="left" w:pos="993"/>
        </w:tabs>
        <w:spacing w:before="120" w:line="340" w:lineRule="exact"/>
        <w:ind w:firstLine="720"/>
        <w:jc w:val="both"/>
        <w:rPr>
          <w:lang w:val="vi-VN"/>
        </w:rPr>
      </w:pPr>
      <w:r w:rsidRPr="000A7B51">
        <w:rPr>
          <w:i/>
          <w:spacing w:val="-4"/>
          <w:lang w:val="vi-VN"/>
        </w:rPr>
        <w:t>Dự thảo Nghị quyết quy định:</w:t>
      </w:r>
      <w:r w:rsidRPr="00A46B31">
        <w:t xml:space="preserve"> </w:t>
      </w:r>
      <w:r w:rsidRPr="00A46B31">
        <w:rPr>
          <w:lang w:val="vi-VN"/>
        </w:rPr>
        <w:t xml:space="preserve">Ngân sách tỉnh Thừa Thiên Huế được hưởng 50% khoản thu tiền sử dụng đất khi bán tài sản công gắn liền trên đất theo quy định của Luật Quản lý, sử dụng tài sản công (sau khi đã trừ chi phí liên quan đến việc bán tài sản trên đất, chuyển nhượng quyền sử dụng đất; kinh phí di dời, xây dựng cơ sở vật chất tại địa điểm mới theo quy định của Luật Quản lý, sử dụng tài sản công) do cơ quan, tổ chức, đơn vị thuộc trung ương quản lý trên địa bàn tỉnh Thừa Thiên Huế (trừ cơ quan, đơn vị thuộc lĩnh vực quốc phòng, an ninh) để đầu </w:t>
      </w:r>
      <w:r w:rsidRPr="00A46B31">
        <w:rPr>
          <w:lang w:val="vi-VN"/>
        </w:rPr>
        <w:lastRenderedPageBreak/>
        <w:t>tư phát triển hạ tầng kinh tế - xã hội thuộc nhiệm vụ đầu tư công của tỉnh Thừa Thiên Huế.</w:t>
      </w:r>
    </w:p>
    <w:p w14:paraId="4B8FA728" w14:textId="282BDC31" w:rsidR="005B329C" w:rsidRPr="000A7B51" w:rsidRDefault="005B329C" w:rsidP="00BD688D">
      <w:pPr>
        <w:tabs>
          <w:tab w:val="left" w:pos="993"/>
        </w:tabs>
        <w:spacing w:before="120" w:line="340" w:lineRule="exact"/>
        <w:ind w:firstLine="720"/>
        <w:jc w:val="both"/>
      </w:pPr>
      <w:r w:rsidRPr="00840B4C">
        <w:t>Qua rà soát, hiện nay có khoảng 15 cơ quan, tổ chức, đơn vị thuộc trung ương quản lý đóng trên địa bàn tỉnh Thừa Thiên Huế (trừ các đơn vị thuộc lĩnh vực quốc ph</w:t>
      </w:r>
      <w:r w:rsidR="00BD688D">
        <w:t>òng, an ninh) dôi dư sau khi sáp</w:t>
      </w:r>
      <w:r w:rsidRPr="00840B4C">
        <w:t xml:space="preserve"> nhập đơn vị, chuyển trụ sở với diện tích đất khoảng 30 nghìn m2. Dự kiến tổng số thu tiền sử dụng đất gắn tài sản trên đất khoảng 600 tỷ đồng</w:t>
      </w:r>
      <w:r>
        <w:t xml:space="preserve"> (đã bao gồm kinh phí di dời đến địa điểm mới)</w:t>
      </w:r>
      <w:r w:rsidRPr="00840B4C">
        <w:t>; khi đó, kinh phí ngân sách Tỉnh được hưởng theo tỷ lệ 50% khoảng 300 tỷ đồng. Trong điều kiện ngân sách tỉnh Thừa Thiên Huế còn rất khó khăn, yêu cầu, nhiệm vụ chi phát triển kinh tế - xã hội</w:t>
      </w:r>
      <w:r>
        <w:t xml:space="preserve"> và bảo tồn các công trình di sản cố đô và văn hóa Huế</w:t>
      </w:r>
      <w:r w:rsidRPr="00840B4C">
        <w:t xml:space="preserve"> trong giai đoạn tới là rất lớn, việc được hưởng 50% khoản thu nêu trên sẽ là nguồn thu bổ sung quan</w:t>
      </w:r>
      <w:r>
        <w:t xml:space="preserve"> trọng cho ngân sách địa phương. Ngoài ra, chính sách này nhằm h</w:t>
      </w:r>
      <w:r w:rsidRPr="00794191">
        <w:rPr>
          <w:lang w:val="vi-VN"/>
        </w:rPr>
        <w:t>ỗ trợ, tạo điều kiện cho tỉnh Thừa Thiên Huế sắp xếp lại, quản lý và sử dụng có hiệu quả tài sản và quỹ đất trên địa bàn; đồng thời tăng cường phân cấp, tạo sự chủ động cho tỉnh trong việc thu hút đầu tư.</w:t>
      </w:r>
      <w:r>
        <w:t xml:space="preserve"> </w:t>
      </w:r>
      <w:r w:rsidRPr="00794191">
        <w:rPr>
          <w:lang w:val="vi-VN"/>
        </w:rPr>
        <w:t>Hiện nay</w:t>
      </w:r>
      <w:r>
        <w:t>,</w:t>
      </w:r>
      <w:r w:rsidRPr="00794191">
        <w:rPr>
          <w:lang w:val="vi-VN"/>
        </w:rPr>
        <w:t xml:space="preserve"> Quốc hội đã </w:t>
      </w:r>
      <w:r>
        <w:t xml:space="preserve">cho phép </w:t>
      </w:r>
      <w:r w:rsidR="002A377B">
        <w:rPr>
          <w:lang w:val="vi-VN"/>
        </w:rPr>
        <w:t xml:space="preserve">Hà Nội </w:t>
      </w:r>
      <w:r w:rsidRPr="00794191">
        <w:rPr>
          <w:lang w:val="vi-VN"/>
        </w:rPr>
        <w:t xml:space="preserve">và Thành phố Hồ Chí Minh </w:t>
      </w:r>
      <w:r>
        <w:t xml:space="preserve">được </w:t>
      </w:r>
      <w:r w:rsidRPr="00794191">
        <w:rPr>
          <w:lang w:val="vi-VN"/>
        </w:rPr>
        <w:t xml:space="preserve">áp dụng chính sách đặc </w:t>
      </w:r>
      <w:r>
        <w:rPr>
          <w:lang w:val="vi-VN"/>
        </w:rPr>
        <w:t>thù tương tự</w:t>
      </w:r>
      <w:r>
        <w:t xml:space="preserve"> này.</w:t>
      </w:r>
    </w:p>
    <w:p w14:paraId="14688DAD" w14:textId="27127F8B" w:rsidR="00461711" w:rsidRDefault="00461711" w:rsidP="00BD688D">
      <w:pPr>
        <w:spacing w:before="120" w:line="340" w:lineRule="exact"/>
        <w:ind w:firstLine="720"/>
        <w:jc w:val="both"/>
        <w:rPr>
          <w:bCs w:val="0"/>
          <w:lang w:val="pt-BR"/>
        </w:rPr>
      </w:pPr>
      <w:r>
        <w:rPr>
          <w:lang w:val="nl-NL"/>
        </w:rPr>
        <w:t xml:space="preserve">Trên đây là báo cáo tóm tắt </w:t>
      </w:r>
      <w:r w:rsidR="00464BEE">
        <w:rPr>
          <w:lang w:val="nl-NL"/>
        </w:rPr>
        <w:t>một số nội dung chủ yếu v</w:t>
      </w:r>
      <w:r>
        <w:rPr>
          <w:lang w:val="nl-NL"/>
        </w:rPr>
        <w:t xml:space="preserve">ề dự thảo Nghị quyết của Quốc hội về thí điểm một số cơ chế, chính sách đặc thù phát triển tỉnh </w:t>
      </w:r>
      <w:r w:rsidR="00B0319B">
        <w:rPr>
          <w:lang w:val="nl-NL"/>
        </w:rPr>
        <w:t>Thừa Thiên Huế</w:t>
      </w:r>
      <w:r>
        <w:rPr>
          <w:lang w:val="nl-NL"/>
        </w:rPr>
        <w:t xml:space="preserve">. </w:t>
      </w:r>
      <w:r>
        <w:rPr>
          <w:bCs w:val="0"/>
          <w:lang w:val="pt-BR"/>
        </w:rPr>
        <w:t xml:space="preserve">Kính </w:t>
      </w:r>
      <w:r w:rsidR="00464BEE">
        <w:rPr>
          <w:bCs w:val="0"/>
          <w:lang w:val="pt-BR"/>
        </w:rPr>
        <w:t>báo cáo</w:t>
      </w:r>
      <w:r>
        <w:rPr>
          <w:bCs w:val="0"/>
          <w:lang w:val="pt-BR"/>
        </w:rPr>
        <w:t xml:space="preserve"> </w:t>
      </w:r>
      <w:r w:rsidR="004B64D1">
        <w:rPr>
          <w:bCs w:val="0"/>
          <w:lang w:val="pt-BR"/>
        </w:rPr>
        <w:t>Ủy ban Thường vụ Quốc hội</w:t>
      </w:r>
      <w:r>
        <w:rPr>
          <w:bCs w:val="0"/>
          <w:lang w:val="pt-BR"/>
        </w:rPr>
        <w:t xml:space="preserve"> </w:t>
      </w:r>
      <w:r w:rsidRPr="00195AA5">
        <w:rPr>
          <w:bCs w:val="0"/>
          <w:lang w:val="pt-BR"/>
        </w:rPr>
        <w:t>xem xét</w:t>
      </w:r>
      <w:r w:rsidR="00464BEE">
        <w:rPr>
          <w:bCs w:val="0"/>
          <w:lang w:val="pt-BR"/>
        </w:rPr>
        <w:t>, quyết định</w:t>
      </w:r>
      <w:r w:rsidRPr="00195AA5">
        <w:rPr>
          <w:bCs w:val="0"/>
          <w:lang w:val="pt-BR"/>
        </w:rPr>
        <w:t>./.</w:t>
      </w:r>
    </w:p>
    <w:p w14:paraId="3653BAA6" w14:textId="77777777" w:rsidR="00A52CC5" w:rsidRDefault="00A52CC5" w:rsidP="00BD688D">
      <w:pPr>
        <w:spacing w:before="120" w:line="340" w:lineRule="exact"/>
        <w:ind w:firstLine="720"/>
        <w:jc w:val="both"/>
        <w:rPr>
          <w:bCs w:val="0"/>
          <w:lang w:val="pt-BR"/>
        </w:rPr>
      </w:pPr>
    </w:p>
    <w:p w14:paraId="5706CD9C" w14:textId="77777777" w:rsidR="00BD688D" w:rsidRDefault="00BD688D" w:rsidP="00BD688D">
      <w:pPr>
        <w:spacing w:before="120" w:line="340" w:lineRule="exact"/>
        <w:ind w:firstLine="720"/>
        <w:jc w:val="both"/>
        <w:rPr>
          <w:bCs w:val="0"/>
          <w:lang w:val="pt-BR"/>
        </w:rPr>
      </w:pPr>
    </w:p>
    <w:tbl>
      <w:tblPr>
        <w:tblW w:w="5000" w:type="pct"/>
        <w:tblLook w:val="00A0" w:firstRow="1" w:lastRow="0" w:firstColumn="1" w:lastColumn="0" w:noHBand="0" w:noVBand="0"/>
      </w:tblPr>
      <w:tblGrid>
        <w:gridCol w:w="4927"/>
        <w:gridCol w:w="299"/>
        <w:gridCol w:w="4345"/>
      </w:tblGrid>
      <w:tr w:rsidR="00464BEE" w:rsidRPr="00195AA5" w14:paraId="0A94694F" w14:textId="77777777" w:rsidTr="00BD688D">
        <w:tc>
          <w:tcPr>
            <w:tcW w:w="2574" w:type="pct"/>
          </w:tcPr>
          <w:p w14:paraId="608B16A6" w14:textId="77777777" w:rsidR="00464BEE" w:rsidRPr="00464BEE" w:rsidRDefault="00464BEE" w:rsidP="00464BEE">
            <w:pPr>
              <w:rPr>
                <w:b/>
                <w:i/>
                <w:lang w:val="pt-BR"/>
              </w:rPr>
            </w:pPr>
            <w:r w:rsidRPr="00464BEE">
              <w:rPr>
                <w:b/>
                <w:i/>
                <w:lang w:val="pt-BR"/>
              </w:rPr>
              <w:t>Nơi nhận:</w:t>
            </w:r>
          </w:p>
          <w:p w14:paraId="52F0B871" w14:textId="1BD191D9" w:rsidR="00464BEE" w:rsidRPr="00464BEE" w:rsidRDefault="00464BEE" w:rsidP="00464BEE">
            <w:pPr>
              <w:rPr>
                <w:sz w:val="24"/>
                <w:lang w:val="pt-BR"/>
              </w:rPr>
            </w:pPr>
            <w:r w:rsidRPr="00464BEE">
              <w:rPr>
                <w:sz w:val="24"/>
                <w:lang w:val="pt-BR"/>
              </w:rPr>
              <w:t>- Như trên</w:t>
            </w:r>
            <w:r w:rsidR="00BE53F0">
              <w:rPr>
                <w:sz w:val="24"/>
                <w:lang w:val="pt-BR"/>
              </w:rPr>
              <w:t xml:space="preserve"> (</w:t>
            </w:r>
            <w:r w:rsidR="009C2785">
              <w:rPr>
                <w:sz w:val="24"/>
                <w:lang w:val="pt-BR"/>
              </w:rPr>
              <w:t>20</w:t>
            </w:r>
            <w:r w:rsidR="00BE53F0">
              <w:rPr>
                <w:sz w:val="24"/>
                <w:lang w:val="pt-BR"/>
              </w:rPr>
              <w:t xml:space="preserve"> bản)</w:t>
            </w:r>
            <w:r w:rsidRPr="00464BEE">
              <w:rPr>
                <w:sz w:val="24"/>
                <w:lang w:val="pt-BR"/>
              </w:rPr>
              <w:t>;</w:t>
            </w:r>
          </w:p>
          <w:p w14:paraId="77E0B498" w14:textId="5947C88C" w:rsidR="00464BEE" w:rsidRPr="00464BEE" w:rsidRDefault="00464BEE" w:rsidP="00464BEE">
            <w:pPr>
              <w:rPr>
                <w:sz w:val="24"/>
                <w:lang w:val="pt-BR"/>
              </w:rPr>
            </w:pPr>
            <w:r w:rsidRPr="00464BEE">
              <w:rPr>
                <w:sz w:val="24"/>
                <w:lang w:val="pt-BR"/>
              </w:rPr>
              <w:t>- Thủ tướng Chính phủ; các Phó T</w:t>
            </w:r>
            <w:r w:rsidR="00BD688D">
              <w:rPr>
                <w:sz w:val="24"/>
                <w:lang w:val="pt-BR"/>
              </w:rPr>
              <w:t>Tg</w:t>
            </w:r>
            <w:r w:rsidRPr="00464BEE">
              <w:rPr>
                <w:sz w:val="24"/>
                <w:lang w:val="pt-BR"/>
              </w:rPr>
              <w:t xml:space="preserve"> Chính phủ;</w:t>
            </w:r>
          </w:p>
          <w:p w14:paraId="027D1A7E" w14:textId="77777777" w:rsidR="00464BEE" w:rsidRPr="00464BEE" w:rsidRDefault="00464BEE" w:rsidP="00464BEE">
            <w:pPr>
              <w:rPr>
                <w:sz w:val="24"/>
                <w:lang w:val="pt-BR"/>
              </w:rPr>
            </w:pPr>
            <w:r w:rsidRPr="00464BEE">
              <w:rPr>
                <w:sz w:val="24"/>
                <w:lang w:val="pt-BR"/>
              </w:rPr>
              <w:t xml:space="preserve">- Các Ủy ban của Quốc hội: Tài chính - Ngân sách; Kinh tế; Xã hội; Khoa học, Công nghệ và Môi trường; Pháp luật; </w:t>
            </w:r>
          </w:p>
          <w:p w14:paraId="146DFD36" w14:textId="30A1CEBB" w:rsidR="00464BEE" w:rsidRPr="00464BEE" w:rsidRDefault="00BE53F0" w:rsidP="00464BEE">
            <w:pPr>
              <w:rPr>
                <w:sz w:val="24"/>
                <w:lang w:val="pt-BR"/>
              </w:rPr>
            </w:pPr>
            <w:r>
              <w:rPr>
                <w:sz w:val="24"/>
                <w:lang w:val="pt-BR"/>
              </w:rPr>
              <w:t>- Văn phòng Quốc hội (05 bản</w:t>
            </w:r>
            <w:r w:rsidR="00464BEE" w:rsidRPr="00464BEE">
              <w:rPr>
                <w:sz w:val="24"/>
                <w:lang w:val="pt-BR"/>
              </w:rPr>
              <w:t>);</w:t>
            </w:r>
          </w:p>
          <w:p w14:paraId="5A97C541" w14:textId="3B507153" w:rsidR="00464BEE" w:rsidRPr="00464BEE" w:rsidRDefault="00464BEE" w:rsidP="00464BEE">
            <w:pPr>
              <w:rPr>
                <w:sz w:val="24"/>
                <w:lang w:val="pt-BR"/>
              </w:rPr>
            </w:pPr>
            <w:r w:rsidRPr="00464BEE">
              <w:rPr>
                <w:sz w:val="24"/>
                <w:lang w:val="pt-BR"/>
              </w:rPr>
              <w:t>- Các Bộ: K</w:t>
            </w:r>
            <w:r w:rsidR="00EF3FA8">
              <w:rPr>
                <w:sz w:val="24"/>
                <w:lang w:val="pt-BR"/>
              </w:rPr>
              <w:t>HĐT</w:t>
            </w:r>
            <w:r w:rsidRPr="00464BEE">
              <w:rPr>
                <w:sz w:val="24"/>
                <w:lang w:val="pt-BR"/>
              </w:rPr>
              <w:t xml:space="preserve">, Tài chính, Nội vụ, Ngoại giao, Tư pháp, </w:t>
            </w:r>
            <w:r w:rsidR="00B0319B">
              <w:rPr>
                <w:sz w:val="24"/>
                <w:lang w:val="pt-BR"/>
              </w:rPr>
              <w:t xml:space="preserve"> Xây dựng;</w:t>
            </w:r>
            <w:r w:rsidR="00EF3FA8">
              <w:rPr>
                <w:sz w:val="24"/>
                <w:lang w:val="pt-BR"/>
              </w:rPr>
              <w:t xml:space="preserve"> VHTTDL</w:t>
            </w:r>
            <w:r w:rsidR="006371E5">
              <w:rPr>
                <w:sz w:val="24"/>
                <w:lang w:val="pt-BR"/>
              </w:rPr>
              <w:t>;</w:t>
            </w:r>
          </w:p>
          <w:p w14:paraId="0B7727C8" w14:textId="0AAC765A" w:rsidR="00464BEE" w:rsidRPr="00464BEE" w:rsidRDefault="00464BEE" w:rsidP="00464BEE">
            <w:pPr>
              <w:rPr>
                <w:sz w:val="24"/>
                <w:lang w:val="pt-BR"/>
              </w:rPr>
            </w:pPr>
            <w:r w:rsidRPr="00464BEE">
              <w:rPr>
                <w:sz w:val="24"/>
                <w:lang w:val="pt-BR"/>
              </w:rPr>
              <w:t xml:space="preserve">- UBND tỉnh </w:t>
            </w:r>
            <w:r w:rsidR="00B0319B">
              <w:rPr>
                <w:sz w:val="24"/>
                <w:lang w:val="pt-BR"/>
              </w:rPr>
              <w:t>Thừa Thiên Huế</w:t>
            </w:r>
            <w:r w:rsidRPr="00464BEE">
              <w:rPr>
                <w:sz w:val="24"/>
                <w:lang w:val="pt-BR"/>
              </w:rPr>
              <w:t>;</w:t>
            </w:r>
          </w:p>
          <w:p w14:paraId="753DDCF9" w14:textId="77777777" w:rsidR="00464BEE" w:rsidRPr="00464BEE" w:rsidRDefault="00464BEE" w:rsidP="00464BEE">
            <w:pPr>
              <w:rPr>
                <w:sz w:val="24"/>
                <w:lang w:val="pt-BR"/>
              </w:rPr>
            </w:pPr>
            <w:r w:rsidRPr="00464BEE">
              <w:rPr>
                <w:sz w:val="24"/>
                <w:lang w:val="pt-BR"/>
              </w:rPr>
              <w:t xml:space="preserve">- VPCP: BTCN, các PCN, Trợ lý, Thư ký TTg, các Phó TTg; các Vụ: KTTH, PL, NN, CN, TH; </w:t>
            </w:r>
          </w:p>
          <w:p w14:paraId="61533AEF" w14:textId="77777777" w:rsidR="00464BEE" w:rsidRPr="00464BEE" w:rsidRDefault="00464BEE" w:rsidP="00464BEE">
            <w:pPr>
              <w:rPr>
                <w:lang w:val="pt-BR"/>
              </w:rPr>
            </w:pPr>
            <w:r w:rsidRPr="00464BEE">
              <w:rPr>
                <w:sz w:val="24"/>
                <w:lang w:val="pt-BR"/>
              </w:rPr>
              <w:t>- Lưu: VT, QHĐP.</w:t>
            </w:r>
          </w:p>
        </w:tc>
        <w:tc>
          <w:tcPr>
            <w:tcW w:w="156" w:type="pct"/>
          </w:tcPr>
          <w:p w14:paraId="5ADBB09F" w14:textId="77777777" w:rsidR="00464BEE" w:rsidRDefault="00464BEE" w:rsidP="00464BEE">
            <w:pPr>
              <w:jc w:val="center"/>
              <w:rPr>
                <w:b/>
                <w:lang w:val="pt-BR"/>
              </w:rPr>
            </w:pPr>
          </w:p>
          <w:p w14:paraId="5108D40A" w14:textId="77777777" w:rsidR="005B329C" w:rsidRPr="00464BEE" w:rsidRDefault="005B329C" w:rsidP="00464BEE">
            <w:pPr>
              <w:jc w:val="center"/>
              <w:rPr>
                <w:b/>
                <w:lang w:val="pt-BR"/>
              </w:rPr>
            </w:pPr>
          </w:p>
        </w:tc>
        <w:tc>
          <w:tcPr>
            <w:tcW w:w="2270" w:type="pct"/>
          </w:tcPr>
          <w:p w14:paraId="5ABB6F14" w14:textId="77777777" w:rsidR="00464BEE" w:rsidRPr="00464BEE" w:rsidRDefault="00464BEE" w:rsidP="002126BB">
            <w:pPr>
              <w:jc w:val="center"/>
              <w:rPr>
                <w:b/>
                <w:lang w:val="pt-BR"/>
              </w:rPr>
            </w:pPr>
            <w:r w:rsidRPr="00464BEE">
              <w:rPr>
                <w:b/>
                <w:lang w:val="pt-BR"/>
              </w:rPr>
              <w:t>TM. CHÍNH PHỦ</w:t>
            </w:r>
          </w:p>
          <w:p w14:paraId="63A13E3C" w14:textId="77777777" w:rsidR="00464BEE" w:rsidRPr="00464BEE" w:rsidRDefault="00464BEE" w:rsidP="002126BB">
            <w:pPr>
              <w:jc w:val="center"/>
              <w:rPr>
                <w:b/>
                <w:lang w:val="pt-BR"/>
              </w:rPr>
            </w:pPr>
            <w:r w:rsidRPr="00464BEE">
              <w:rPr>
                <w:b/>
                <w:lang w:val="pt-BR"/>
              </w:rPr>
              <w:t>TUQ. THỦ TƯỚNG</w:t>
            </w:r>
          </w:p>
          <w:p w14:paraId="3BDD7A2F" w14:textId="77777777" w:rsidR="00464BEE" w:rsidRPr="00464BEE" w:rsidRDefault="00464BEE" w:rsidP="002126BB">
            <w:pPr>
              <w:jc w:val="center"/>
              <w:rPr>
                <w:b/>
                <w:lang w:val="pt-BR"/>
              </w:rPr>
            </w:pPr>
            <w:r w:rsidRPr="00464BEE">
              <w:rPr>
                <w:b/>
                <w:lang w:val="pt-BR"/>
              </w:rPr>
              <w:t>BỘ TRƯỞNG</w:t>
            </w:r>
          </w:p>
          <w:p w14:paraId="3AA5369D" w14:textId="77777777" w:rsidR="00464BEE" w:rsidRPr="00464BEE" w:rsidRDefault="00464BEE" w:rsidP="002126BB">
            <w:pPr>
              <w:jc w:val="center"/>
              <w:rPr>
                <w:b/>
                <w:lang w:val="pt-BR"/>
              </w:rPr>
            </w:pPr>
            <w:r w:rsidRPr="00464BEE">
              <w:rPr>
                <w:b/>
                <w:lang w:val="pt-BR"/>
              </w:rPr>
              <w:t>BỘ KẾ HOẠCH VÀ ĐẦU TƯ</w:t>
            </w:r>
          </w:p>
          <w:p w14:paraId="6F2D0132" w14:textId="77777777" w:rsidR="00464BEE" w:rsidRPr="00464BEE" w:rsidRDefault="00464BEE" w:rsidP="002126BB">
            <w:pPr>
              <w:jc w:val="center"/>
              <w:rPr>
                <w:b/>
                <w:lang w:val="pt-BR"/>
              </w:rPr>
            </w:pPr>
          </w:p>
          <w:p w14:paraId="2C93C50A" w14:textId="77777777" w:rsidR="00464BEE" w:rsidRPr="00464BEE" w:rsidRDefault="00464BEE" w:rsidP="002126BB">
            <w:pPr>
              <w:jc w:val="center"/>
              <w:rPr>
                <w:b/>
                <w:lang w:val="pt-BR"/>
              </w:rPr>
            </w:pPr>
          </w:p>
          <w:p w14:paraId="3BFADD6F" w14:textId="06F86E2F" w:rsidR="00464BEE" w:rsidRPr="00464BEE" w:rsidRDefault="00EC015D" w:rsidP="002126BB">
            <w:pPr>
              <w:jc w:val="center"/>
              <w:rPr>
                <w:b/>
                <w:lang w:val="pt-BR"/>
              </w:rPr>
            </w:pPr>
            <w:r>
              <w:rPr>
                <w:b/>
                <w:lang w:val="pt-BR"/>
              </w:rPr>
              <w:t>(Đã ký</w:t>
            </w:r>
            <w:bookmarkStart w:id="1" w:name="_GoBack"/>
            <w:bookmarkEnd w:id="1"/>
            <w:r>
              <w:rPr>
                <w:b/>
                <w:lang w:val="pt-BR"/>
              </w:rPr>
              <w:t>)</w:t>
            </w:r>
          </w:p>
          <w:p w14:paraId="220DCC22" w14:textId="77777777" w:rsidR="00464BEE" w:rsidRPr="00464BEE" w:rsidRDefault="00464BEE" w:rsidP="002126BB">
            <w:pPr>
              <w:jc w:val="center"/>
              <w:rPr>
                <w:b/>
                <w:lang w:val="pt-BR"/>
              </w:rPr>
            </w:pPr>
          </w:p>
          <w:p w14:paraId="065D01E8" w14:textId="77777777" w:rsidR="00464BEE" w:rsidRPr="00464BEE" w:rsidRDefault="00464BEE" w:rsidP="002126BB">
            <w:pPr>
              <w:jc w:val="center"/>
              <w:rPr>
                <w:b/>
                <w:lang w:val="pt-BR"/>
              </w:rPr>
            </w:pPr>
          </w:p>
          <w:p w14:paraId="391ED4AF" w14:textId="77777777" w:rsidR="00464BEE" w:rsidRPr="00464BEE" w:rsidRDefault="00464BEE" w:rsidP="002126BB">
            <w:pPr>
              <w:jc w:val="center"/>
              <w:rPr>
                <w:b/>
                <w:lang w:val="pt-BR"/>
              </w:rPr>
            </w:pPr>
          </w:p>
          <w:p w14:paraId="6ED20846" w14:textId="77777777" w:rsidR="00464BEE" w:rsidRPr="00464BEE" w:rsidRDefault="00464BEE" w:rsidP="002126BB">
            <w:pPr>
              <w:jc w:val="center"/>
              <w:rPr>
                <w:b/>
                <w:lang w:val="pt-BR"/>
              </w:rPr>
            </w:pPr>
            <w:r w:rsidRPr="00464BEE">
              <w:rPr>
                <w:b/>
                <w:lang w:val="pt-BR"/>
              </w:rPr>
              <w:t>Nguyễn Chí Dũng</w:t>
            </w:r>
          </w:p>
        </w:tc>
      </w:tr>
      <w:tr w:rsidR="00D619EB" w:rsidRPr="00CC0C94" w14:paraId="1FC0A15E" w14:textId="77777777" w:rsidTr="00BD688D">
        <w:tc>
          <w:tcPr>
            <w:tcW w:w="2574" w:type="pct"/>
          </w:tcPr>
          <w:p w14:paraId="44EFE99B" w14:textId="77777777" w:rsidR="00D619EB" w:rsidRPr="00DF147E" w:rsidRDefault="00D619EB" w:rsidP="008D01A9">
            <w:pPr>
              <w:rPr>
                <w:lang w:val="pt-BR"/>
              </w:rPr>
            </w:pPr>
          </w:p>
        </w:tc>
        <w:tc>
          <w:tcPr>
            <w:tcW w:w="156" w:type="pct"/>
          </w:tcPr>
          <w:p w14:paraId="42E1AF8F" w14:textId="77777777" w:rsidR="00D619EB" w:rsidRPr="00DF147E" w:rsidRDefault="00D619EB" w:rsidP="008D01A9">
            <w:pPr>
              <w:jc w:val="center"/>
              <w:rPr>
                <w:b/>
                <w:lang w:val="pt-BR"/>
              </w:rPr>
            </w:pPr>
          </w:p>
        </w:tc>
        <w:tc>
          <w:tcPr>
            <w:tcW w:w="2270" w:type="pct"/>
          </w:tcPr>
          <w:p w14:paraId="08AAE931" w14:textId="23F8A907" w:rsidR="00D619EB" w:rsidRPr="00DF147E" w:rsidRDefault="00D619EB" w:rsidP="008D01A9">
            <w:pPr>
              <w:jc w:val="center"/>
              <w:rPr>
                <w:b/>
                <w:lang w:val="pt-BR"/>
              </w:rPr>
            </w:pPr>
          </w:p>
        </w:tc>
      </w:tr>
    </w:tbl>
    <w:p w14:paraId="509EA2FB" w14:textId="17CEDE58" w:rsidR="009079F7" w:rsidRPr="00164DBE" w:rsidRDefault="009079F7" w:rsidP="00164DBE">
      <w:pPr>
        <w:spacing w:after="200" w:line="276" w:lineRule="auto"/>
        <w:rPr>
          <w:kern w:val="0"/>
          <w:lang w:val="pt-BR"/>
        </w:rPr>
      </w:pPr>
    </w:p>
    <w:sectPr w:rsidR="009079F7" w:rsidRPr="00164DBE" w:rsidSect="00BD688D">
      <w:headerReference w:type="default" r:id="rId8"/>
      <w:footerReference w:type="default" r:id="rId9"/>
      <w:pgSz w:w="11907" w:h="16839" w:code="9"/>
      <w:pgMar w:top="1021" w:right="1134" w:bottom="102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60DC1" w14:textId="77777777" w:rsidR="00B460B6" w:rsidRDefault="00B460B6" w:rsidP="00E91B41">
      <w:r>
        <w:separator/>
      </w:r>
    </w:p>
  </w:endnote>
  <w:endnote w:type="continuationSeparator" w:id="0">
    <w:p w14:paraId="7B91BB82" w14:textId="77777777" w:rsidR="00B460B6" w:rsidRDefault="00B460B6" w:rsidP="00E9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5869" w14:textId="77777777" w:rsidR="00EA5C32" w:rsidRDefault="00EA5C32">
    <w:pPr>
      <w:pStyle w:val="Footer"/>
      <w:jc w:val="right"/>
    </w:pPr>
  </w:p>
  <w:p w14:paraId="57C38D88" w14:textId="77777777" w:rsidR="00EA5C32" w:rsidRDefault="00EA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E5C7" w14:textId="77777777" w:rsidR="00B460B6" w:rsidRDefault="00B460B6" w:rsidP="00E91B41">
      <w:r>
        <w:separator/>
      </w:r>
    </w:p>
  </w:footnote>
  <w:footnote w:type="continuationSeparator" w:id="0">
    <w:p w14:paraId="1B55B1A9" w14:textId="77777777" w:rsidR="00B460B6" w:rsidRDefault="00B460B6" w:rsidP="00E91B41">
      <w:r>
        <w:continuationSeparator/>
      </w:r>
    </w:p>
  </w:footnote>
  <w:footnote w:id="1">
    <w:p w14:paraId="610C90A2" w14:textId="77777777" w:rsidR="005B329C" w:rsidRDefault="005B329C" w:rsidP="005B329C">
      <w:pPr>
        <w:pStyle w:val="NormalWeb"/>
        <w:shd w:val="clear" w:color="auto" w:fill="FFFFFF"/>
        <w:spacing w:before="0" w:beforeAutospacing="0" w:after="0" w:afterAutospacing="0"/>
        <w:jc w:val="both"/>
        <w:rPr>
          <w:i/>
          <w:sz w:val="20"/>
          <w:szCs w:val="20"/>
        </w:rPr>
      </w:pPr>
      <w:r>
        <w:rPr>
          <w:rStyle w:val="FootnoteReference"/>
          <w:rFonts w:eastAsiaTheme="majorEastAsia"/>
        </w:rPr>
        <w:footnoteRef/>
      </w:r>
      <w:r>
        <w:rPr>
          <w:sz w:val="20"/>
          <w:szCs w:val="20"/>
        </w:rPr>
        <w:t xml:space="preserve"> </w:t>
      </w:r>
      <w:bookmarkStart w:id="0" w:name="dieu_12"/>
      <w:r>
        <w:rPr>
          <w:sz w:val="20"/>
          <w:szCs w:val="20"/>
        </w:rPr>
        <w:t>“</w:t>
      </w:r>
      <w:r>
        <w:rPr>
          <w:b/>
          <w:i/>
          <w:sz w:val="20"/>
          <w:szCs w:val="20"/>
        </w:rPr>
        <w:t>Khoản 1 Điều 12</w:t>
      </w:r>
      <w:r>
        <w:rPr>
          <w:i/>
          <w:sz w:val="20"/>
          <w:szCs w:val="20"/>
        </w:rPr>
        <w:t>. Thu, nộp, quản lý và sử dụng phí</w:t>
      </w:r>
      <w:bookmarkEnd w:id="0"/>
    </w:p>
    <w:p w14:paraId="3A156E4B" w14:textId="77777777" w:rsidR="005B329C" w:rsidRDefault="005B329C" w:rsidP="005B329C">
      <w:pPr>
        <w:pStyle w:val="NormalWeb"/>
        <w:shd w:val="clear" w:color="auto" w:fill="FFFFFF"/>
        <w:spacing w:before="0" w:beforeAutospacing="0" w:after="0" w:afterAutospacing="0"/>
        <w:rPr>
          <w:i/>
          <w:color w:val="000000"/>
          <w:sz w:val="20"/>
          <w:szCs w:val="20"/>
        </w:rPr>
      </w:pPr>
      <w:r>
        <w:rPr>
          <w:i/>
          <w:color w:val="000000"/>
          <w:sz w:val="20"/>
          <w:szCs w:val="20"/>
        </w:rPr>
        <w:t>Phí thu từ các hoạt động dịch vụ do cơ quan nhà nước thực hiện phải nộp vào ngân sách nhà nước, trường hợp cơ quan nhà nước được khoán chi phí hoạt động từ nguồn thu phí thì được khấu trừ, phần còn lại nộp ngân sách nhà nước.</w:t>
      </w:r>
    </w:p>
    <w:p w14:paraId="63350C1C" w14:textId="77777777" w:rsidR="005B329C" w:rsidRDefault="005B329C" w:rsidP="005B329C">
      <w:pPr>
        <w:pStyle w:val="NormalWeb"/>
        <w:shd w:val="clear" w:color="auto" w:fill="FFFFFF"/>
        <w:spacing w:before="0" w:beforeAutospacing="0" w:after="0" w:afterAutospacing="0"/>
        <w:rPr>
          <w:sz w:val="20"/>
          <w:szCs w:val="20"/>
        </w:rPr>
      </w:pPr>
      <w:r>
        <w:rPr>
          <w:i/>
          <w:color w:val="000000"/>
          <w:sz w:val="20"/>
          <w:szCs w:val="20"/>
        </w:rPr>
        <w:t>Phí thu từ các hoạt động dịch vụ do đơn vị sự nghiệp công lập thực hiện được để lại một phần hoặc toàn bộ số tiền phí thu được để trang trải chi phí hoạt động cung cấp dịch vụ, thu phí trên cơ sở dự toán được cơ quan nhà nước có thẩm quyền phê duyệt, phần còn lại nộp ngân sách nhà nước”.</w:t>
      </w:r>
    </w:p>
  </w:footnote>
  <w:footnote w:id="2">
    <w:p w14:paraId="56ED8007" w14:textId="77777777" w:rsidR="005B329C" w:rsidRDefault="005B329C" w:rsidP="005B329C">
      <w:pPr>
        <w:pStyle w:val="FootnoteText"/>
      </w:pPr>
      <w:r>
        <w:rPr>
          <w:rStyle w:val="FootnoteReference"/>
        </w:rPr>
        <w:footnoteRef/>
      </w:r>
      <w:r>
        <w:t xml:space="preserve"> T</w:t>
      </w:r>
      <w:r w:rsidRPr="00A46B31">
        <w:rPr>
          <w:spacing w:val="-2"/>
          <w:lang w:val="nl-NL"/>
        </w:rPr>
        <w:t>heo số thu năm 2019 thời điểm chưa có dịch Covid-19</w:t>
      </w:r>
    </w:p>
  </w:footnote>
  <w:footnote w:id="3">
    <w:p w14:paraId="70556CE6" w14:textId="77777777" w:rsidR="005B329C" w:rsidRDefault="005B329C" w:rsidP="005B329C">
      <w:pPr>
        <w:pStyle w:val="NormalWeb"/>
        <w:shd w:val="clear" w:color="auto" w:fill="FFFFFF"/>
        <w:spacing w:before="0" w:beforeAutospacing="0" w:after="0" w:afterAutospacing="0"/>
        <w:jc w:val="both"/>
        <w:rPr>
          <w:i/>
          <w:color w:val="000000"/>
          <w:sz w:val="20"/>
          <w:szCs w:val="20"/>
          <w:lang w:val="vi-VN"/>
        </w:rPr>
      </w:pPr>
      <w:r>
        <w:rPr>
          <w:rStyle w:val="FootnoteReference"/>
          <w:rFonts w:eastAsiaTheme="majorEastAsia"/>
        </w:rPr>
        <w:footnoteRef/>
      </w:r>
      <w:r>
        <w:rPr>
          <w:i/>
          <w:sz w:val="20"/>
          <w:szCs w:val="20"/>
          <w:lang w:val="vi-VN"/>
        </w:rPr>
        <w:t xml:space="preserve"> “</w:t>
      </w:r>
      <w:r>
        <w:rPr>
          <w:b/>
          <w:i/>
          <w:sz w:val="20"/>
          <w:szCs w:val="20"/>
          <w:lang w:val="vi-VN"/>
        </w:rPr>
        <w:t xml:space="preserve">Khoản </w:t>
      </w:r>
      <w:r>
        <w:rPr>
          <w:b/>
          <w:i/>
          <w:color w:val="000000"/>
          <w:sz w:val="20"/>
          <w:szCs w:val="20"/>
          <w:lang w:val="vi-VN"/>
        </w:rPr>
        <w:t>6 Điều 7</w:t>
      </w:r>
      <w:r>
        <w:rPr>
          <w:i/>
          <w:color w:val="000000"/>
          <w:sz w:val="20"/>
          <w:szCs w:val="20"/>
          <w:lang w:val="vi-VN"/>
        </w:rPr>
        <w:t>. Mức dư nợ vay của ngân sách địa phương:</w:t>
      </w:r>
    </w:p>
    <w:p w14:paraId="183FA406" w14:textId="77777777" w:rsidR="005B329C" w:rsidRDefault="005B329C" w:rsidP="005B329C">
      <w:pPr>
        <w:pStyle w:val="NormalWeb"/>
        <w:shd w:val="clear" w:color="auto" w:fill="FFFFFF"/>
        <w:spacing w:before="0" w:beforeAutospacing="0" w:after="0" w:afterAutospacing="0"/>
        <w:jc w:val="both"/>
        <w:rPr>
          <w:i/>
          <w:color w:val="000000"/>
          <w:sz w:val="20"/>
          <w:szCs w:val="20"/>
          <w:lang w:val="vi-VN"/>
        </w:rPr>
      </w:pPr>
      <w:r>
        <w:rPr>
          <w:i/>
          <w:color w:val="000000"/>
          <w:sz w:val="20"/>
          <w:szCs w:val="20"/>
          <w:lang w:val="vi-VN"/>
        </w:rPr>
        <w:t>a) Đối với thành phố Hà Nội và thành phố Hồ Chí Minh không vượt quá 60% số thu ngân sách địa phương được hưởng theo phân cấp;</w:t>
      </w:r>
    </w:p>
    <w:p w14:paraId="5C844661" w14:textId="77777777" w:rsidR="005B329C" w:rsidRDefault="005B329C" w:rsidP="005B329C">
      <w:pPr>
        <w:pStyle w:val="NormalWeb"/>
        <w:shd w:val="clear" w:color="auto" w:fill="FFFFFF"/>
        <w:spacing w:before="0" w:beforeAutospacing="0" w:after="0" w:afterAutospacing="0"/>
        <w:jc w:val="both"/>
        <w:rPr>
          <w:i/>
          <w:color w:val="000000"/>
          <w:sz w:val="20"/>
          <w:szCs w:val="20"/>
          <w:lang w:val="vi-VN"/>
        </w:rPr>
      </w:pPr>
      <w:r>
        <w:rPr>
          <w:i/>
          <w:color w:val="000000"/>
          <w:sz w:val="20"/>
          <w:szCs w:val="20"/>
          <w:lang w:val="vi-VN"/>
        </w:rPr>
        <w:t>b) Đối với các địa phương có số thu ngân sách địa phương được hưởng theo phân cấp lớn hơn chi thường xuyên của ngân sách địa phương không vượt quá 30% số thu ngân sách được hưởng theo phân </w:t>
      </w:r>
      <w:r>
        <w:rPr>
          <w:i/>
          <w:color w:val="000000"/>
          <w:sz w:val="20"/>
          <w:szCs w:val="20"/>
          <w:shd w:val="clear" w:color="auto" w:fill="FFFFFF"/>
          <w:lang w:val="vi-VN"/>
        </w:rPr>
        <w:t>cấp</w:t>
      </w:r>
      <w:r>
        <w:rPr>
          <w:i/>
          <w:color w:val="000000"/>
          <w:sz w:val="20"/>
          <w:szCs w:val="20"/>
          <w:lang w:val="vi-VN"/>
        </w:rPr>
        <w:t>;</w:t>
      </w:r>
    </w:p>
    <w:p w14:paraId="598CED06" w14:textId="77777777" w:rsidR="005B329C" w:rsidRDefault="005B329C" w:rsidP="005B329C">
      <w:pPr>
        <w:pStyle w:val="NormalWeb"/>
        <w:shd w:val="clear" w:color="auto" w:fill="FFFFFF"/>
        <w:spacing w:before="0" w:beforeAutospacing="0" w:after="0" w:afterAutospacing="0"/>
        <w:jc w:val="both"/>
        <w:rPr>
          <w:rFonts w:ascii="Arial" w:hAnsi="Arial" w:cs="Arial"/>
          <w:color w:val="000000"/>
          <w:sz w:val="20"/>
          <w:szCs w:val="20"/>
          <w:lang w:val="vi-VN"/>
        </w:rPr>
      </w:pPr>
      <w:r>
        <w:rPr>
          <w:i/>
          <w:color w:val="000000"/>
          <w:sz w:val="20"/>
          <w:szCs w:val="20"/>
          <w:lang w:val="vi-VN"/>
        </w:rPr>
        <w:t>c) Đối với các địa phương có số thu ngân sách địa phương được hưởng theo phân cấp nhỏ hơn hoặc bằng chi thường xuyên của ngân sách địa phương không vượt quá 20% số thu ngân sách được hưởng theo phân </w:t>
      </w:r>
      <w:r>
        <w:rPr>
          <w:i/>
          <w:color w:val="000000"/>
          <w:sz w:val="20"/>
          <w:szCs w:val="20"/>
          <w:shd w:val="clear" w:color="auto" w:fill="FFFFFF"/>
          <w:lang w:val="vi-VN"/>
        </w:rPr>
        <w:t>cấp”</w:t>
      </w:r>
      <w:r>
        <w:rPr>
          <w:i/>
          <w:color w:val="000000"/>
          <w:sz w:val="20"/>
          <w:szCs w:val="20"/>
          <w:lang w:val="vi-VN"/>
        </w:rPr>
        <w:t>.</w:t>
      </w:r>
    </w:p>
  </w:footnote>
  <w:footnote w:id="4">
    <w:p w14:paraId="0E6DEDB4" w14:textId="77777777" w:rsidR="005B329C" w:rsidRDefault="005B329C" w:rsidP="005B329C">
      <w:pPr>
        <w:pStyle w:val="FootnoteText"/>
        <w:jc w:val="both"/>
        <w:rPr>
          <w:lang w:val="vi-VN"/>
        </w:rPr>
      </w:pPr>
      <w:r>
        <w:rPr>
          <w:rStyle w:val="FootnoteReference"/>
          <w:rFonts w:eastAsiaTheme="majorEastAsia"/>
        </w:rPr>
        <w:footnoteRef/>
      </w:r>
      <w:r>
        <w:rPr>
          <w:lang w:val="vi-VN"/>
        </w:rPr>
        <w:t xml:space="preserve"> Hiện nay, 05 thành phố trực thuộc Trung ương đã và đang được Quốc hội đồng ý cho áp dụng cơ chế đặc thù theo hướng tăng mức dư nợ vay (cụ thể: thành phố Hồ Chí Minh, Hà Nội không quá 90%, thành phố Đà Nẵng, Hải Phòng, Cần Thơ không quá 40%).</w:t>
      </w:r>
    </w:p>
    <w:p w14:paraId="2A44C2CC" w14:textId="77777777" w:rsidR="005B329C" w:rsidRDefault="005B329C" w:rsidP="005B329C">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861672"/>
      <w:docPartObj>
        <w:docPartGallery w:val="Page Numbers (Top of Page)"/>
        <w:docPartUnique/>
      </w:docPartObj>
    </w:sdtPr>
    <w:sdtEndPr>
      <w:rPr>
        <w:noProof/>
      </w:rPr>
    </w:sdtEndPr>
    <w:sdtContent>
      <w:p w14:paraId="18BDEEB8" w14:textId="1F7B1631" w:rsidR="00EA5C32" w:rsidRDefault="00EA5C32">
        <w:pPr>
          <w:pStyle w:val="Header"/>
          <w:jc w:val="center"/>
        </w:pPr>
        <w:r>
          <w:fldChar w:fldCharType="begin"/>
        </w:r>
        <w:r>
          <w:instrText xml:space="preserve"> PAGE   \* MERGEFORMAT </w:instrText>
        </w:r>
        <w:r>
          <w:fldChar w:fldCharType="separate"/>
        </w:r>
        <w:r w:rsidR="00295721">
          <w:rPr>
            <w:noProof/>
          </w:rPr>
          <w:t>5</w:t>
        </w:r>
        <w:r>
          <w:rPr>
            <w:noProof/>
          </w:rPr>
          <w:fldChar w:fldCharType="end"/>
        </w:r>
      </w:p>
    </w:sdtContent>
  </w:sdt>
  <w:p w14:paraId="497BD592" w14:textId="77777777" w:rsidR="00EA5C32" w:rsidRDefault="00EA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F34"/>
    <w:multiLevelType w:val="hybridMultilevel"/>
    <w:tmpl w:val="91C6D6C0"/>
    <w:lvl w:ilvl="0" w:tplc="6466F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4F08"/>
    <w:multiLevelType w:val="hybridMultilevel"/>
    <w:tmpl w:val="0018F3F4"/>
    <w:lvl w:ilvl="0" w:tplc="1E40E8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367AC"/>
    <w:multiLevelType w:val="hybridMultilevel"/>
    <w:tmpl w:val="66AA0646"/>
    <w:lvl w:ilvl="0" w:tplc="88B88CDC">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71A1A"/>
    <w:multiLevelType w:val="hybridMultilevel"/>
    <w:tmpl w:val="C7C087A8"/>
    <w:lvl w:ilvl="0" w:tplc="FB14C57C">
      <w:numFmt w:val="bullet"/>
      <w:lvlText w:val="-"/>
      <w:lvlJc w:val="left"/>
      <w:pPr>
        <w:ind w:left="3240" w:hanging="360"/>
      </w:pPr>
      <w:rPr>
        <w:rFonts w:ascii="Times New Roman" w:eastAsiaTheme="maj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6B67537"/>
    <w:multiLevelType w:val="hybridMultilevel"/>
    <w:tmpl w:val="2AE4CC6C"/>
    <w:lvl w:ilvl="0" w:tplc="273C7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234220"/>
    <w:multiLevelType w:val="hybridMultilevel"/>
    <w:tmpl w:val="4B8C9390"/>
    <w:lvl w:ilvl="0" w:tplc="2BEEB1E0">
      <w:numFmt w:val="bullet"/>
      <w:lvlText w:val="-"/>
      <w:lvlJc w:val="left"/>
      <w:pPr>
        <w:ind w:left="3240" w:hanging="360"/>
      </w:pPr>
      <w:rPr>
        <w:rFonts w:ascii="Times New Roman" w:eastAsiaTheme="maj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26B0E72"/>
    <w:multiLevelType w:val="hybridMultilevel"/>
    <w:tmpl w:val="3E665A08"/>
    <w:lvl w:ilvl="0" w:tplc="0CF460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52D87510"/>
    <w:multiLevelType w:val="hybridMultilevel"/>
    <w:tmpl w:val="637C1DC8"/>
    <w:lvl w:ilvl="0" w:tplc="8F6A588C">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8" w15:restartNumberingAfterBreak="0">
    <w:nsid w:val="5B495B82"/>
    <w:multiLevelType w:val="hybridMultilevel"/>
    <w:tmpl w:val="34F2B3D4"/>
    <w:lvl w:ilvl="0" w:tplc="3A5070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0B0E25"/>
    <w:multiLevelType w:val="hybridMultilevel"/>
    <w:tmpl w:val="AC4ECDBC"/>
    <w:lvl w:ilvl="0" w:tplc="B2E69A6C">
      <w:start w:val="1"/>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 w15:restartNumberingAfterBreak="0">
    <w:nsid w:val="6CB5276C"/>
    <w:multiLevelType w:val="hybridMultilevel"/>
    <w:tmpl w:val="CD385B66"/>
    <w:lvl w:ilvl="0" w:tplc="80C0A852">
      <w:start w:val="3"/>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6ED07D4F"/>
    <w:multiLevelType w:val="hybridMultilevel"/>
    <w:tmpl w:val="E8BCF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2F3E89"/>
    <w:multiLevelType w:val="hybridMultilevel"/>
    <w:tmpl w:val="52FE46FE"/>
    <w:lvl w:ilvl="0" w:tplc="BCD8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25554C"/>
    <w:multiLevelType w:val="hybridMultilevel"/>
    <w:tmpl w:val="922401E4"/>
    <w:lvl w:ilvl="0" w:tplc="B0D2F9B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7A223D21"/>
    <w:multiLevelType w:val="hybridMultilevel"/>
    <w:tmpl w:val="FDF675FE"/>
    <w:lvl w:ilvl="0" w:tplc="1B282B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34282"/>
    <w:multiLevelType w:val="hybridMultilevel"/>
    <w:tmpl w:val="77465370"/>
    <w:lvl w:ilvl="0" w:tplc="F7C848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3"/>
  </w:num>
  <w:num w:numId="4">
    <w:abstractNumId w:val="9"/>
  </w:num>
  <w:num w:numId="5">
    <w:abstractNumId w:val="7"/>
  </w:num>
  <w:num w:numId="6">
    <w:abstractNumId w:val="3"/>
  </w:num>
  <w:num w:numId="7">
    <w:abstractNumId w:val="5"/>
  </w:num>
  <w:num w:numId="8">
    <w:abstractNumId w:val="15"/>
  </w:num>
  <w:num w:numId="9">
    <w:abstractNumId w:val="2"/>
  </w:num>
  <w:num w:numId="10">
    <w:abstractNumId w:val="11"/>
  </w:num>
  <w:num w:numId="11">
    <w:abstractNumId w:val="8"/>
  </w:num>
  <w:num w:numId="12">
    <w:abstractNumId w:val="14"/>
  </w:num>
  <w:num w:numId="13">
    <w:abstractNumId w:val="1"/>
  </w:num>
  <w:num w:numId="14">
    <w:abstractNumId w:val="0"/>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B41"/>
    <w:rsid w:val="0000070F"/>
    <w:rsid w:val="00003E84"/>
    <w:rsid w:val="00006A3D"/>
    <w:rsid w:val="00011C32"/>
    <w:rsid w:val="00015526"/>
    <w:rsid w:val="00015D76"/>
    <w:rsid w:val="00020E5D"/>
    <w:rsid w:val="00020FB9"/>
    <w:rsid w:val="0002221B"/>
    <w:rsid w:val="00022783"/>
    <w:rsid w:val="00023A63"/>
    <w:rsid w:val="00023C30"/>
    <w:rsid w:val="00024EA0"/>
    <w:rsid w:val="0002510C"/>
    <w:rsid w:val="000261B3"/>
    <w:rsid w:val="000262DD"/>
    <w:rsid w:val="0003020C"/>
    <w:rsid w:val="00030ED5"/>
    <w:rsid w:val="00033B83"/>
    <w:rsid w:val="000356A3"/>
    <w:rsid w:val="00035F1D"/>
    <w:rsid w:val="00037A05"/>
    <w:rsid w:val="000433FC"/>
    <w:rsid w:val="00044186"/>
    <w:rsid w:val="00044E4B"/>
    <w:rsid w:val="00045A2A"/>
    <w:rsid w:val="00045E2D"/>
    <w:rsid w:val="00046A31"/>
    <w:rsid w:val="00050665"/>
    <w:rsid w:val="00050EB3"/>
    <w:rsid w:val="00051B1F"/>
    <w:rsid w:val="00051BE5"/>
    <w:rsid w:val="0005451C"/>
    <w:rsid w:val="00056053"/>
    <w:rsid w:val="00056E38"/>
    <w:rsid w:val="000572AC"/>
    <w:rsid w:val="000572D6"/>
    <w:rsid w:val="00057ECA"/>
    <w:rsid w:val="000605EE"/>
    <w:rsid w:val="00061678"/>
    <w:rsid w:val="00063484"/>
    <w:rsid w:val="00063DF3"/>
    <w:rsid w:val="00064194"/>
    <w:rsid w:val="00064404"/>
    <w:rsid w:val="00064B82"/>
    <w:rsid w:val="00064C9A"/>
    <w:rsid w:val="00066651"/>
    <w:rsid w:val="00070562"/>
    <w:rsid w:val="00071635"/>
    <w:rsid w:val="00071AB4"/>
    <w:rsid w:val="0007262F"/>
    <w:rsid w:val="000745CF"/>
    <w:rsid w:val="0007517F"/>
    <w:rsid w:val="00075981"/>
    <w:rsid w:val="00077578"/>
    <w:rsid w:val="00080ADB"/>
    <w:rsid w:val="0008120E"/>
    <w:rsid w:val="00085114"/>
    <w:rsid w:val="000870AF"/>
    <w:rsid w:val="00090847"/>
    <w:rsid w:val="000924D5"/>
    <w:rsid w:val="00093164"/>
    <w:rsid w:val="0009536E"/>
    <w:rsid w:val="00096E43"/>
    <w:rsid w:val="00097FE5"/>
    <w:rsid w:val="000A2137"/>
    <w:rsid w:val="000A2BA1"/>
    <w:rsid w:val="000A2BEB"/>
    <w:rsid w:val="000A332D"/>
    <w:rsid w:val="000A53B4"/>
    <w:rsid w:val="000A594B"/>
    <w:rsid w:val="000A63A2"/>
    <w:rsid w:val="000A7256"/>
    <w:rsid w:val="000A7CA3"/>
    <w:rsid w:val="000B0626"/>
    <w:rsid w:val="000B2213"/>
    <w:rsid w:val="000B2C9F"/>
    <w:rsid w:val="000B4DCB"/>
    <w:rsid w:val="000B515B"/>
    <w:rsid w:val="000C00FA"/>
    <w:rsid w:val="000C230A"/>
    <w:rsid w:val="000C259B"/>
    <w:rsid w:val="000C3459"/>
    <w:rsid w:val="000C3C86"/>
    <w:rsid w:val="000C6464"/>
    <w:rsid w:val="000D079C"/>
    <w:rsid w:val="000D5891"/>
    <w:rsid w:val="000E026B"/>
    <w:rsid w:val="000E1D26"/>
    <w:rsid w:val="000E25D9"/>
    <w:rsid w:val="000E29C1"/>
    <w:rsid w:val="000E35D6"/>
    <w:rsid w:val="000E63BB"/>
    <w:rsid w:val="000E655D"/>
    <w:rsid w:val="000F1100"/>
    <w:rsid w:val="000F1C48"/>
    <w:rsid w:val="000F2882"/>
    <w:rsid w:val="000F383D"/>
    <w:rsid w:val="000F3CFC"/>
    <w:rsid w:val="000F532D"/>
    <w:rsid w:val="000F6710"/>
    <w:rsid w:val="000F6ED0"/>
    <w:rsid w:val="000F7876"/>
    <w:rsid w:val="000F7D96"/>
    <w:rsid w:val="000F7DBF"/>
    <w:rsid w:val="00102F6B"/>
    <w:rsid w:val="00103326"/>
    <w:rsid w:val="001036BC"/>
    <w:rsid w:val="00104AB8"/>
    <w:rsid w:val="00107C95"/>
    <w:rsid w:val="001114FF"/>
    <w:rsid w:val="00112DE6"/>
    <w:rsid w:val="001138E0"/>
    <w:rsid w:val="00115A08"/>
    <w:rsid w:val="00116534"/>
    <w:rsid w:val="00116762"/>
    <w:rsid w:val="00120365"/>
    <w:rsid w:val="00120A8D"/>
    <w:rsid w:val="00123267"/>
    <w:rsid w:val="0012455F"/>
    <w:rsid w:val="0012467C"/>
    <w:rsid w:val="0012580A"/>
    <w:rsid w:val="001320A7"/>
    <w:rsid w:val="00132521"/>
    <w:rsid w:val="001327A1"/>
    <w:rsid w:val="0013457A"/>
    <w:rsid w:val="001352AE"/>
    <w:rsid w:val="00135C90"/>
    <w:rsid w:val="0014383A"/>
    <w:rsid w:val="001456E8"/>
    <w:rsid w:val="001506FA"/>
    <w:rsid w:val="00150702"/>
    <w:rsid w:val="001515BC"/>
    <w:rsid w:val="00151646"/>
    <w:rsid w:val="0015254B"/>
    <w:rsid w:val="00153C34"/>
    <w:rsid w:val="00154607"/>
    <w:rsid w:val="00154A35"/>
    <w:rsid w:val="0015559A"/>
    <w:rsid w:val="001618CB"/>
    <w:rsid w:val="0016407E"/>
    <w:rsid w:val="00164790"/>
    <w:rsid w:val="00164DBE"/>
    <w:rsid w:val="00165291"/>
    <w:rsid w:val="00167382"/>
    <w:rsid w:val="001707D8"/>
    <w:rsid w:val="0017165C"/>
    <w:rsid w:val="00176152"/>
    <w:rsid w:val="0017734A"/>
    <w:rsid w:val="00177E1D"/>
    <w:rsid w:val="00180167"/>
    <w:rsid w:val="00186547"/>
    <w:rsid w:val="00186A74"/>
    <w:rsid w:val="0018763C"/>
    <w:rsid w:val="001939AD"/>
    <w:rsid w:val="00194F3A"/>
    <w:rsid w:val="00195251"/>
    <w:rsid w:val="0019528C"/>
    <w:rsid w:val="001955AD"/>
    <w:rsid w:val="00197150"/>
    <w:rsid w:val="001A0098"/>
    <w:rsid w:val="001A1036"/>
    <w:rsid w:val="001A4BFE"/>
    <w:rsid w:val="001A6FBA"/>
    <w:rsid w:val="001A74B5"/>
    <w:rsid w:val="001B0B95"/>
    <w:rsid w:val="001B16FD"/>
    <w:rsid w:val="001B2643"/>
    <w:rsid w:val="001C41B8"/>
    <w:rsid w:val="001C454F"/>
    <w:rsid w:val="001C4F4D"/>
    <w:rsid w:val="001C59A1"/>
    <w:rsid w:val="001C6BF3"/>
    <w:rsid w:val="001C6DA7"/>
    <w:rsid w:val="001C74F0"/>
    <w:rsid w:val="001D078C"/>
    <w:rsid w:val="001D0D86"/>
    <w:rsid w:val="001D328A"/>
    <w:rsid w:val="001D3B0F"/>
    <w:rsid w:val="001D627C"/>
    <w:rsid w:val="001D6347"/>
    <w:rsid w:val="001D679D"/>
    <w:rsid w:val="001E024E"/>
    <w:rsid w:val="001E03A2"/>
    <w:rsid w:val="001E0877"/>
    <w:rsid w:val="001E0D34"/>
    <w:rsid w:val="001E15BD"/>
    <w:rsid w:val="001E58A8"/>
    <w:rsid w:val="001E5B78"/>
    <w:rsid w:val="001E7F24"/>
    <w:rsid w:val="001F0B5C"/>
    <w:rsid w:val="001F3CC0"/>
    <w:rsid w:val="001F3E21"/>
    <w:rsid w:val="001F4E84"/>
    <w:rsid w:val="001F6993"/>
    <w:rsid w:val="00201FDA"/>
    <w:rsid w:val="00204952"/>
    <w:rsid w:val="002062E8"/>
    <w:rsid w:val="00211697"/>
    <w:rsid w:val="00211B05"/>
    <w:rsid w:val="00211D48"/>
    <w:rsid w:val="00211EF7"/>
    <w:rsid w:val="00216778"/>
    <w:rsid w:val="00221EDD"/>
    <w:rsid w:val="00225628"/>
    <w:rsid w:val="002320EC"/>
    <w:rsid w:val="00234D21"/>
    <w:rsid w:val="00236A8B"/>
    <w:rsid w:val="00237753"/>
    <w:rsid w:val="0023798B"/>
    <w:rsid w:val="002419BC"/>
    <w:rsid w:val="002432B5"/>
    <w:rsid w:val="00246D36"/>
    <w:rsid w:val="002503A4"/>
    <w:rsid w:val="002514BC"/>
    <w:rsid w:val="00251994"/>
    <w:rsid w:val="00251B24"/>
    <w:rsid w:val="00253832"/>
    <w:rsid w:val="00256B17"/>
    <w:rsid w:val="00256F56"/>
    <w:rsid w:val="0026137C"/>
    <w:rsid w:val="0026450F"/>
    <w:rsid w:val="002645C4"/>
    <w:rsid w:val="002715A5"/>
    <w:rsid w:val="00273C1C"/>
    <w:rsid w:val="00273FA7"/>
    <w:rsid w:val="002756EE"/>
    <w:rsid w:val="0027573A"/>
    <w:rsid w:val="002758C5"/>
    <w:rsid w:val="00275BA6"/>
    <w:rsid w:val="00280ED5"/>
    <w:rsid w:val="00280F8F"/>
    <w:rsid w:val="00283E70"/>
    <w:rsid w:val="00283FB5"/>
    <w:rsid w:val="00284218"/>
    <w:rsid w:val="00285CFD"/>
    <w:rsid w:val="00286428"/>
    <w:rsid w:val="00286D54"/>
    <w:rsid w:val="00291AFD"/>
    <w:rsid w:val="00291DA9"/>
    <w:rsid w:val="00292C73"/>
    <w:rsid w:val="002951D9"/>
    <w:rsid w:val="0029545A"/>
    <w:rsid w:val="00295721"/>
    <w:rsid w:val="00297107"/>
    <w:rsid w:val="00297C1F"/>
    <w:rsid w:val="002A04A9"/>
    <w:rsid w:val="002A05F4"/>
    <w:rsid w:val="002A098D"/>
    <w:rsid w:val="002A0C49"/>
    <w:rsid w:val="002A15E3"/>
    <w:rsid w:val="002A377B"/>
    <w:rsid w:val="002A5960"/>
    <w:rsid w:val="002A601F"/>
    <w:rsid w:val="002A6106"/>
    <w:rsid w:val="002A669D"/>
    <w:rsid w:val="002A6F44"/>
    <w:rsid w:val="002A6F81"/>
    <w:rsid w:val="002B00BB"/>
    <w:rsid w:val="002B04EA"/>
    <w:rsid w:val="002B0E77"/>
    <w:rsid w:val="002B1BED"/>
    <w:rsid w:val="002B288D"/>
    <w:rsid w:val="002B69A1"/>
    <w:rsid w:val="002C08B7"/>
    <w:rsid w:val="002C1E57"/>
    <w:rsid w:val="002C56BD"/>
    <w:rsid w:val="002C6EC3"/>
    <w:rsid w:val="002C70EF"/>
    <w:rsid w:val="002D06CA"/>
    <w:rsid w:val="002D2B79"/>
    <w:rsid w:val="002D3190"/>
    <w:rsid w:val="002D4612"/>
    <w:rsid w:val="002D7183"/>
    <w:rsid w:val="002D7CD1"/>
    <w:rsid w:val="002E1449"/>
    <w:rsid w:val="002E1C3C"/>
    <w:rsid w:val="002E3651"/>
    <w:rsid w:val="002E4463"/>
    <w:rsid w:val="002E7486"/>
    <w:rsid w:val="002F2892"/>
    <w:rsid w:val="002F2EF1"/>
    <w:rsid w:val="002F307F"/>
    <w:rsid w:val="002F329A"/>
    <w:rsid w:val="002F798D"/>
    <w:rsid w:val="00301EE7"/>
    <w:rsid w:val="00302104"/>
    <w:rsid w:val="00302BD7"/>
    <w:rsid w:val="00303142"/>
    <w:rsid w:val="00304556"/>
    <w:rsid w:val="003054B5"/>
    <w:rsid w:val="003060C9"/>
    <w:rsid w:val="00310FE9"/>
    <w:rsid w:val="0031194D"/>
    <w:rsid w:val="00311BE3"/>
    <w:rsid w:val="0031342F"/>
    <w:rsid w:val="0031470D"/>
    <w:rsid w:val="00314D4A"/>
    <w:rsid w:val="00316F6C"/>
    <w:rsid w:val="00316FB6"/>
    <w:rsid w:val="003177AF"/>
    <w:rsid w:val="00321BA0"/>
    <w:rsid w:val="00322F0B"/>
    <w:rsid w:val="00323848"/>
    <w:rsid w:val="003249B2"/>
    <w:rsid w:val="003301C0"/>
    <w:rsid w:val="00330466"/>
    <w:rsid w:val="00332635"/>
    <w:rsid w:val="00333B6F"/>
    <w:rsid w:val="003344C4"/>
    <w:rsid w:val="00334C33"/>
    <w:rsid w:val="0033595D"/>
    <w:rsid w:val="00335B08"/>
    <w:rsid w:val="00335EB2"/>
    <w:rsid w:val="00337C07"/>
    <w:rsid w:val="003403EA"/>
    <w:rsid w:val="003415FD"/>
    <w:rsid w:val="00343C06"/>
    <w:rsid w:val="0034460F"/>
    <w:rsid w:val="00344C57"/>
    <w:rsid w:val="003456F3"/>
    <w:rsid w:val="003471F4"/>
    <w:rsid w:val="003474EF"/>
    <w:rsid w:val="00347F03"/>
    <w:rsid w:val="003501A9"/>
    <w:rsid w:val="00350ED9"/>
    <w:rsid w:val="003516B8"/>
    <w:rsid w:val="00351DB5"/>
    <w:rsid w:val="00354C3B"/>
    <w:rsid w:val="00355217"/>
    <w:rsid w:val="003565FD"/>
    <w:rsid w:val="003576D0"/>
    <w:rsid w:val="00357CB5"/>
    <w:rsid w:val="003646C7"/>
    <w:rsid w:val="00365AFB"/>
    <w:rsid w:val="00367BFF"/>
    <w:rsid w:val="00371153"/>
    <w:rsid w:val="00371BFC"/>
    <w:rsid w:val="00373CEF"/>
    <w:rsid w:val="00374645"/>
    <w:rsid w:val="0037494B"/>
    <w:rsid w:val="003750D3"/>
    <w:rsid w:val="003752AA"/>
    <w:rsid w:val="00375A90"/>
    <w:rsid w:val="003767F1"/>
    <w:rsid w:val="003806B1"/>
    <w:rsid w:val="00383266"/>
    <w:rsid w:val="00383C30"/>
    <w:rsid w:val="0038423E"/>
    <w:rsid w:val="00384A36"/>
    <w:rsid w:val="00392293"/>
    <w:rsid w:val="0039235B"/>
    <w:rsid w:val="00392BC7"/>
    <w:rsid w:val="00392C93"/>
    <w:rsid w:val="00393618"/>
    <w:rsid w:val="00393B4B"/>
    <w:rsid w:val="00395525"/>
    <w:rsid w:val="00396E71"/>
    <w:rsid w:val="00396FB0"/>
    <w:rsid w:val="00397FEB"/>
    <w:rsid w:val="003A1559"/>
    <w:rsid w:val="003A75AD"/>
    <w:rsid w:val="003B06D7"/>
    <w:rsid w:val="003B62CF"/>
    <w:rsid w:val="003B7D32"/>
    <w:rsid w:val="003C1C51"/>
    <w:rsid w:val="003C2C28"/>
    <w:rsid w:val="003C3CAA"/>
    <w:rsid w:val="003C48E3"/>
    <w:rsid w:val="003C780E"/>
    <w:rsid w:val="003D0413"/>
    <w:rsid w:val="003D11DC"/>
    <w:rsid w:val="003D785E"/>
    <w:rsid w:val="003E0318"/>
    <w:rsid w:val="003E098F"/>
    <w:rsid w:val="003E1C8F"/>
    <w:rsid w:val="003E26D8"/>
    <w:rsid w:val="003E63A9"/>
    <w:rsid w:val="003E6F15"/>
    <w:rsid w:val="003E75F7"/>
    <w:rsid w:val="003E7D99"/>
    <w:rsid w:val="003F0720"/>
    <w:rsid w:val="003F1F07"/>
    <w:rsid w:val="003F2537"/>
    <w:rsid w:val="003F3607"/>
    <w:rsid w:val="003F4566"/>
    <w:rsid w:val="003F4B5D"/>
    <w:rsid w:val="003F6140"/>
    <w:rsid w:val="00400343"/>
    <w:rsid w:val="00400376"/>
    <w:rsid w:val="004020F7"/>
    <w:rsid w:val="0040246B"/>
    <w:rsid w:val="0040369C"/>
    <w:rsid w:val="004045D8"/>
    <w:rsid w:val="004052F3"/>
    <w:rsid w:val="00406137"/>
    <w:rsid w:val="0040733C"/>
    <w:rsid w:val="004109A5"/>
    <w:rsid w:val="00410DFC"/>
    <w:rsid w:val="00411CEE"/>
    <w:rsid w:val="0041293E"/>
    <w:rsid w:val="004155FC"/>
    <w:rsid w:val="00415AD9"/>
    <w:rsid w:val="00416912"/>
    <w:rsid w:val="00416AD6"/>
    <w:rsid w:val="004179A2"/>
    <w:rsid w:val="0042002E"/>
    <w:rsid w:val="00420889"/>
    <w:rsid w:val="00421CA5"/>
    <w:rsid w:val="004316F8"/>
    <w:rsid w:val="00432548"/>
    <w:rsid w:val="004341C9"/>
    <w:rsid w:val="00437C40"/>
    <w:rsid w:val="0044188B"/>
    <w:rsid w:val="00441DDB"/>
    <w:rsid w:val="00441DFD"/>
    <w:rsid w:val="004421B8"/>
    <w:rsid w:val="004435E6"/>
    <w:rsid w:val="00446782"/>
    <w:rsid w:val="00450442"/>
    <w:rsid w:val="004514C8"/>
    <w:rsid w:val="00452C51"/>
    <w:rsid w:val="00456BB1"/>
    <w:rsid w:val="00456DDA"/>
    <w:rsid w:val="0046037E"/>
    <w:rsid w:val="00461080"/>
    <w:rsid w:val="00461711"/>
    <w:rsid w:val="00463908"/>
    <w:rsid w:val="00464BEE"/>
    <w:rsid w:val="00471546"/>
    <w:rsid w:val="004717DE"/>
    <w:rsid w:val="0047218D"/>
    <w:rsid w:val="00477EA4"/>
    <w:rsid w:val="00477F5E"/>
    <w:rsid w:val="00480E82"/>
    <w:rsid w:val="00480F84"/>
    <w:rsid w:val="004811D4"/>
    <w:rsid w:val="004820D8"/>
    <w:rsid w:val="00483332"/>
    <w:rsid w:val="00483403"/>
    <w:rsid w:val="0048487E"/>
    <w:rsid w:val="004875CB"/>
    <w:rsid w:val="00487887"/>
    <w:rsid w:val="00490150"/>
    <w:rsid w:val="004905C5"/>
    <w:rsid w:val="0049068C"/>
    <w:rsid w:val="0049197F"/>
    <w:rsid w:val="00494509"/>
    <w:rsid w:val="00495023"/>
    <w:rsid w:val="00496140"/>
    <w:rsid w:val="004A159A"/>
    <w:rsid w:val="004A1B84"/>
    <w:rsid w:val="004A25E7"/>
    <w:rsid w:val="004A27F3"/>
    <w:rsid w:val="004A2A74"/>
    <w:rsid w:val="004A400C"/>
    <w:rsid w:val="004A42F5"/>
    <w:rsid w:val="004A5041"/>
    <w:rsid w:val="004A5B6B"/>
    <w:rsid w:val="004A5CC2"/>
    <w:rsid w:val="004A680E"/>
    <w:rsid w:val="004A78ED"/>
    <w:rsid w:val="004B073A"/>
    <w:rsid w:val="004B337F"/>
    <w:rsid w:val="004B64D1"/>
    <w:rsid w:val="004B7C18"/>
    <w:rsid w:val="004C2AFA"/>
    <w:rsid w:val="004C2CBD"/>
    <w:rsid w:val="004C36E8"/>
    <w:rsid w:val="004C37D1"/>
    <w:rsid w:val="004C3B0C"/>
    <w:rsid w:val="004C56FA"/>
    <w:rsid w:val="004C584F"/>
    <w:rsid w:val="004C6E96"/>
    <w:rsid w:val="004C780D"/>
    <w:rsid w:val="004D3964"/>
    <w:rsid w:val="004D4B51"/>
    <w:rsid w:val="004D5D9F"/>
    <w:rsid w:val="004D6F39"/>
    <w:rsid w:val="004D785E"/>
    <w:rsid w:val="004E125D"/>
    <w:rsid w:val="004E1872"/>
    <w:rsid w:val="004E455F"/>
    <w:rsid w:val="004E5774"/>
    <w:rsid w:val="004E6763"/>
    <w:rsid w:val="004E7462"/>
    <w:rsid w:val="004F1C36"/>
    <w:rsid w:val="004F2BC7"/>
    <w:rsid w:val="004F2D80"/>
    <w:rsid w:val="004F2F62"/>
    <w:rsid w:val="004F3E51"/>
    <w:rsid w:val="004F4A6E"/>
    <w:rsid w:val="004F723C"/>
    <w:rsid w:val="004F7BDE"/>
    <w:rsid w:val="00502CD7"/>
    <w:rsid w:val="00504251"/>
    <w:rsid w:val="0050444D"/>
    <w:rsid w:val="00507255"/>
    <w:rsid w:val="00511F73"/>
    <w:rsid w:val="005130FA"/>
    <w:rsid w:val="005149AC"/>
    <w:rsid w:val="00514BD4"/>
    <w:rsid w:val="00514D2F"/>
    <w:rsid w:val="0051573F"/>
    <w:rsid w:val="005173A6"/>
    <w:rsid w:val="00521603"/>
    <w:rsid w:val="005229C1"/>
    <w:rsid w:val="00523255"/>
    <w:rsid w:val="005246E9"/>
    <w:rsid w:val="00524EA5"/>
    <w:rsid w:val="00527D0E"/>
    <w:rsid w:val="005310ED"/>
    <w:rsid w:val="0053322A"/>
    <w:rsid w:val="00534144"/>
    <w:rsid w:val="00540820"/>
    <w:rsid w:val="00541520"/>
    <w:rsid w:val="0054412A"/>
    <w:rsid w:val="00544621"/>
    <w:rsid w:val="00552350"/>
    <w:rsid w:val="005537F7"/>
    <w:rsid w:val="00553927"/>
    <w:rsid w:val="00553F01"/>
    <w:rsid w:val="00556284"/>
    <w:rsid w:val="00556E96"/>
    <w:rsid w:val="005604E5"/>
    <w:rsid w:val="005619C5"/>
    <w:rsid w:val="00561CA4"/>
    <w:rsid w:val="0056212C"/>
    <w:rsid w:val="0056286E"/>
    <w:rsid w:val="00562A81"/>
    <w:rsid w:val="00563236"/>
    <w:rsid w:val="005651DD"/>
    <w:rsid w:val="00566883"/>
    <w:rsid w:val="00567246"/>
    <w:rsid w:val="00575915"/>
    <w:rsid w:val="00575F60"/>
    <w:rsid w:val="00577D0A"/>
    <w:rsid w:val="005815AA"/>
    <w:rsid w:val="00584617"/>
    <w:rsid w:val="00586B9B"/>
    <w:rsid w:val="00586EDF"/>
    <w:rsid w:val="00597439"/>
    <w:rsid w:val="00597DEA"/>
    <w:rsid w:val="005A00D8"/>
    <w:rsid w:val="005A2035"/>
    <w:rsid w:val="005A2A5C"/>
    <w:rsid w:val="005A2E38"/>
    <w:rsid w:val="005A3A03"/>
    <w:rsid w:val="005A703B"/>
    <w:rsid w:val="005A718E"/>
    <w:rsid w:val="005B0F05"/>
    <w:rsid w:val="005B329C"/>
    <w:rsid w:val="005B4872"/>
    <w:rsid w:val="005B4939"/>
    <w:rsid w:val="005C2058"/>
    <w:rsid w:val="005C395B"/>
    <w:rsid w:val="005C3A48"/>
    <w:rsid w:val="005C4D75"/>
    <w:rsid w:val="005C718C"/>
    <w:rsid w:val="005C7201"/>
    <w:rsid w:val="005D3F2E"/>
    <w:rsid w:val="005D3F4E"/>
    <w:rsid w:val="005D43F8"/>
    <w:rsid w:val="005D5AE2"/>
    <w:rsid w:val="005D5B18"/>
    <w:rsid w:val="005D5E61"/>
    <w:rsid w:val="005D5F6D"/>
    <w:rsid w:val="005D6083"/>
    <w:rsid w:val="005E1F88"/>
    <w:rsid w:val="005E2A37"/>
    <w:rsid w:val="005E2BA3"/>
    <w:rsid w:val="005E4C9C"/>
    <w:rsid w:val="005E4E10"/>
    <w:rsid w:val="005E682A"/>
    <w:rsid w:val="005F052E"/>
    <w:rsid w:val="005F3EC1"/>
    <w:rsid w:val="005F4E26"/>
    <w:rsid w:val="005F4FA8"/>
    <w:rsid w:val="005F5255"/>
    <w:rsid w:val="005F5C00"/>
    <w:rsid w:val="005F5FC4"/>
    <w:rsid w:val="005F643E"/>
    <w:rsid w:val="005F66C0"/>
    <w:rsid w:val="005F69CC"/>
    <w:rsid w:val="005F7C8F"/>
    <w:rsid w:val="006005E8"/>
    <w:rsid w:val="0060156D"/>
    <w:rsid w:val="006022BE"/>
    <w:rsid w:val="00603727"/>
    <w:rsid w:val="00604343"/>
    <w:rsid w:val="0060484E"/>
    <w:rsid w:val="00605301"/>
    <w:rsid w:val="00606C4B"/>
    <w:rsid w:val="006078FE"/>
    <w:rsid w:val="006101C5"/>
    <w:rsid w:val="006108C3"/>
    <w:rsid w:val="006135D7"/>
    <w:rsid w:val="00613D84"/>
    <w:rsid w:val="00614E14"/>
    <w:rsid w:val="00616C17"/>
    <w:rsid w:val="0061766A"/>
    <w:rsid w:val="00621809"/>
    <w:rsid w:val="00622762"/>
    <w:rsid w:val="00622D78"/>
    <w:rsid w:val="00623428"/>
    <w:rsid w:val="00623A1D"/>
    <w:rsid w:val="006261DC"/>
    <w:rsid w:val="0063055E"/>
    <w:rsid w:val="00632C11"/>
    <w:rsid w:val="00632F1A"/>
    <w:rsid w:val="006342A3"/>
    <w:rsid w:val="006343D2"/>
    <w:rsid w:val="006344F2"/>
    <w:rsid w:val="006355FC"/>
    <w:rsid w:val="006371E5"/>
    <w:rsid w:val="006376B4"/>
    <w:rsid w:val="00642336"/>
    <w:rsid w:val="0064469C"/>
    <w:rsid w:val="0064501B"/>
    <w:rsid w:val="00647816"/>
    <w:rsid w:val="00651C6F"/>
    <w:rsid w:val="00653802"/>
    <w:rsid w:val="0065440D"/>
    <w:rsid w:val="0066361C"/>
    <w:rsid w:val="0066469F"/>
    <w:rsid w:val="006647F0"/>
    <w:rsid w:val="00664BBF"/>
    <w:rsid w:val="006673E6"/>
    <w:rsid w:val="00667982"/>
    <w:rsid w:val="00670A7D"/>
    <w:rsid w:val="00672ADF"/>
    <w:rsid w:val="0068020C"/>
    <w:rsid w:val="00680C15"/>
    <w:rsid w:val="00682BED"/>
    <w:rsid w:val="0068457F"/>
    <w:rsid w:val="00685C59"/>
    <w:rsid w:val="006864E9"/>
    <w:rsid w:val="00686B87"/>
    <w:rsid w:val="00694AFD"/>
    <w:rsid w:val="00695A93"/>
    <w:rsid w:val="00696224"/>
    <w:rsid w:val="00696C9A"/>
    <w:rsid w:val="00697106"/>
    <w:rsid w:val="006A233F"/>
    <w:rsid w:val="006A2812"/>
    <w:rsid w:val="006A37F2"/>
    <w:rsid w:val="006A3E62"/>
    <w:rsid w:val="006A4227"/>
    <w:rsid w:val="006A466C"/>
    <w:rsid w:val="006A5E0A"/>
    <w:rsid w:val="006A6681"/>
    <w:rsid w:val="006B116B"/>
    <w:rsid w:val="006B2557"/>
    <w:rsid w:val="006B54E4"/>
    <w:rsid w:val="006B6EA6"/>
    <w:rsid w:val="006C07F6"/>
    <w:rsid w:val="006C11B1"/>
    <w:rsid w:val="006C3751"/>
    <w:rsid w:val="006C490D"/>
    <w:rsid w:val="006C6DF8"/>
    <w:rsid w:val="006C7573"/>
    <w:rsid w:val="006D292D"/>
    <w:rsid w:val="006D5ADB"/>
    <w:rsid w:val="006E1C7D"/>
    <w:rsid w:val="006E22B4"/>
    <w:rsid w:val="006E36B9"/>
    <w:rsid w:val="006E509F"/>
    <w:rsid w:val="006E6E1C"/>
    <w:rsid w:val="006E788B"/>
    <w:rsid w:val="006F146E"/>
    <w:rsid w:val="006F193A"/>
    <w:rsid w:val="006F2326"/>
    <w:rsid w:val="006F341C"/>
    <w:rsid w:val="006F6636"/>
    <w:rsid w:val="006F70E6"/>
    <w:rsid w:val="006F7828"/>
    <w:rsid w:val="006F78A0"/>
    <w:rsid w:val="007017E5"/>
    <w:rsid w:val="00701C16"/>
    <w:rsid w:val="00704983"/>
    <w:rsid w:val="00705665"/>
    <w:rsid w:val="007064F0"/>
    <w:rsid w:val="00706ACC"/>
    <w:rsid w:val="00710F9C"/>
    <w:rsid w:val="00712721"/>
    <w:rsid w:val="007127F1"/>
    <w:rsid w:val="00713006"/>
    <w:rsid w:val="007138C8"/>
    <w:rsid w:val="0072097B"/>
    <w:rsid w:val="00720C84"/>
    <w:rsid w:val="00721B80"/>
    <w:rsid w:val="00721F57"/>
    <w:rsid w:val="007225EB"/>
    <w:rsid w:val="00722AE0"/>
    <w:rsid w:val="00722B64"/>
    <w:rsid w:val="00723D2C"/>
    <w:rsid w:val="007252BB"/>
    <w:rsid w:val="00730F37"/>
    <w:rsid w:val="00731C10"/>
    <w:rsid w:val="007323F5"/>
    <w:rsid w:val="007329A1"/>
    <w:rsid w:val="00732FA3"/>
    <w:rsid w:val="00733D4D"/>
    <w:rsid w:val="0073447A"/>
    <w:rsid w:val="0073765F"/>
    <w:rsid w:val="007439F0"/>
    <w:rsid w:val="00744E11"/>
    <w:rsid w:val="00745764"/>
    <w:rsid w:val="00745775"/>
    <w:rsid w:val="00745925"/>
    <w:rsid w:val="007473EB"/>
    <w:rsid w:val="00751832"/>
    <w:rsid w:val="00754533"/>
    <w:rsid w:val="00755089"/>
    <w:rsid w:val="007551B0"/>
    <w:rsid w:val="0076091F"/>
    <w:rsid w:val="007631B5"/>
    <w:rsid w:val="007676E9"/>
    <w:rsid w:val="007718BE"/>
    <w:rsid w:val="00771B49"/>
    <w:rsid w:val="00772A1D"/>
    <w:rsid w:val="0077345E"/>
    <w:rsid w:val="00773D3D"/>
    <w:rsid w:val="00774425"/>
    <w:rsid w:val="007749B3"/>
    <w:rsid w:val="007776EA"/>
    <w:rsid w:val="0078087D"/>
    <w:rsid w:val="00780C42"/>
    <w:rsid w:val="0078148A"/>
    <w:rsid w:val="007828F6"/>
    <w:rsid w:val="0078487A"/>
    <w:rsid w:val="0078593A"/>
    <w:rsid w:val="007860CA"/>
    <w:rsid w:val="007860F2"/>
    <w:rsid w:val="007911FF"/>
    <w:rsid w:val="007918A9"/>
    <w:rsid w:val="00794B19"/>
    <w:rsid w:val="007962EE"/>
    <w:rsid w:val="0079650E"/>
    <w:rsid w:val="007A02E2"/>
    <w:rsid w:val="007A03F9"/>
    <w:rsid w:val="007A3E92"/>
    <w:rsid w:val="007A4FF6"/>
    <w:rsid w:val="007A5CF9"/>
    <w:rsid w:val="007A5E8E"/>
    <w:rsid w:val="007A7451"/>
    <w:rsid w:val="007A75BA"/>
    <w:rsid w:val="007B2AEE"/>
    <w:rsid w:val="007B4D5B"/>
    <w:rsid w:val="007B62F1"/>
    <w:rsid w:val="007C07A1"/>
    <w:rsid w:val="007C0F79"/>
    <w:rsid w:val="007C1908"/>
    <w:rsid w:val="007C3F49"/>
    <w:rsid w:val="007C49C0"/>
    <w:rsid w:val="007C4BCB"/>
    <w:rsid w:val="007C7251"/>
    <w:rsid w:val="007D433C"/>
    <w:rsid w:val="007D54B7"/>
    <w:rsid w:val="007D6A64"/>
    <w:rsid w:val="007E2A97"/>
    <w:rsid w:val="007E677F"/>
    <w:rsid w:val="007E71CF"/>
    <w:rsid w:val="007E7696"/>
    <w:rsid w:val="007E77AD"/>
    <w:rsid w:val="007F1057"/>
    <w:rsid w:val="007F14B2"/>
    <w:rsid w:val="007F17AE"/>
    <w:rsid w:val="007F2162"/>
    <w:rsid w:val="007F2FBC"/>
    <w:rsid w:val="007F34A7"/>
    <w:rsid w:val="007F39AF"/>
    <w:rsid w:val="007F6786"/>
    <w:rsid w:val="00801471"/>
    <w:rsid w:val="008022AA"/>
    <w:rsid w:val="00802D7B"/>
    <w:rsid w:val="0080440D"/>
    <w:rsid w:val="00806001"/>
    <w:rsid w:val="00807A21"/>
    <w:rsid w:val="008100E1"/>
    <w:rsid w:val="00810A5E"/>
    <w:rsid w:val="008112A7"/>
    <w:rsid w:val="0081284A"/>
    <w:rsid w:val="00813514"/>
    <w:rsid w:val="008150DA"/>
    <w:rsid w:val="00817541"/>
    <w:rsid w:val="00817BE0"/>
    <w:rsid w:val="008217A4"/>
    <w:rsid w:val="008227D2"/>
    <w:rsid w:val="0082543C"/>
    <w:rsid w:val="00825A95"/>
    <w:rsid w:val="0082691E"/>
    <w:rsid w:val="00830C9C"/>
    <w:rsid w:val="00831DF7"/>
    <w:rsid w:val="00832A1E"/>
    <w:rsid w:val="00834508"/>
    <w:rsid w:val="0083709B"/>
    <w:rsid w:val="00837C19"/>
    <w:rsid w:val="00840B2B"/>
    <w:rsid w:val="00840B58"/>
    <w:rsid w:val="00840EB1"/>
    <w:rsid w:val="00844873"/>
    <w:rsid w:val="008451BD"/>
    <w:rsid w:val="00857603"/>
    <w:rsid w:val="008579DB"/>
    <w:rsid w:val="00860B3A"/>
    <w:rsid w:val="00861328"/>
    <w:rsid w:val="00861412"/>
    <w:rsid w:val="00862674"/>
    <w:rsid w:val="00864371"/>
    <w:rsid w:val="008643B5"/>
    <w:rsid w:val="00865E6D"/>
    <w:rsid w:val="00866CF1"/>
    <w:rsid w:val="008673A3"/>
    <w:rsid w:val="008703E7"/>
    <w:rsid w:val="00872D49"/>
    <w:rsid w:val="00875567"/>
    <w:rsid w:val="00875DCD"/>
    <w:rsid w:val="00875FFD"/>
    <w:rsid w:val="0087641D"/>
    <w:rsid w:val="0087686F"/>
    <w:rsid w:val="008828A5"/>
    <w:rsid w:val="00883046"/>
    <w:rsid w:val="008840B6"/>
    <w:rsid w:val="00884FA7"/>
    <w:rsid w:val="00886191"/>
    <w:rsid w:val="0089077C"/>
    <w:rsid w:val="00890D50"/>
    <w:rsid w:val="00892FF6"/>
    <w:rsid w:val="0089536A"/>
    <w:rsid w:val="00897C41"/>
    <w:rsid w:val="008A0848"/>
    <w:rsid w:val="008A0C8B"/>
    <w:rsid w:val="008A454A"/>
    <w:rsid w:val="008A4990"/>
    <w:rsid w:val="008A5634"/>
    <w:rsid w:val="008A65BB"/>
    <w:rsid w:val="008A7019"/>
    <w:rsid w:val="008A7861"/>
    <w:rsid w:val="008B0324"/>
    <w:rsid w:val="008B424D"/>
    <w:rsid w:val="008B6064"/>
    <w:rsid w:val="008B71B1"/>
    <w:rsid w:val="008B73E5"/>
    <w:rsid w:val="008C0DE5"/>
    <w:rsid w:val="008C10B4"/>
    <w:rsid w:val="008C7824"/>
    <w:rsid w:val="008D01A9"/>
    <w:rsid w:val="008D353C"/>
    <w:rsid w:val="008D38E7"/>
    <w:rsid w:val="008D3BE5"/>
    <w:rsid w:val="008D7106"/>
    <w:rsid w:val="008E00F2"/>
    <w:rsid w:val="008E07A6"/>
    <w:rsid w:val="008E1063"/>
    <w:rsid w:val="008E1A81"/>
    <w:rsid w:val="008E52A1"/>
    <w:rsid w:val="008F2B3F"/>
    <w:rsid w:val="008F2FF4"/>
    <w:rsid w:val="008F38C9"/>
    <w:rsid w:val="008F5AAC"/>
    <w:rsid w:val="008F6A64"/>
    <w:rsid w:val="008F7237"/>
    <w:rsid w:val="008F7300"/>
    <w:rsid w:val="00900079"/>
    <w:rsid w:val="00900266"/>
    <w:rsid w:val="00901FDD"/>
    <w:rsid w:val="00903D85"/>
    <w:rsid w:val="0090487C"/>
    <w:rsid w:val="009050E1"/>
    <w:rsid w:val="009079F7"/>
    <w:rsid w:val="009112AE"/>
    <w:rsid w:val="00911702"/>
    <w:rsid w:val="00911C71"/>
    <w:rsid w:val="00912A6F"/>
    <w:rsid w:val="00913611"/>
    <w:rsid w:val="00913B50"/>
    <w:rsid w:val="00914864"/>
    <w:rsid w:val="009152D8"/>
    <w:rsid w:val="009166DC"/>
    <w:rsid w:val="00916812"/>
    <w:rsid w:val="00916959"/>
    <w:rsid w:val="0092242F"/>
    <w:rsid w:val="009227E1"/>
    <w:rsid w:val="00923F4A"/>
    <w:rsid w:val="009305BF"/>
    <w:rsid w:val="00931A1A"/>
    <w:rsid w:val="0093240A"/>
    <w:rsid w:val="00932A84"/>
    <w:rsid w:val="00936217"/>
    <w:rsid w:val="00936381"/>
    <w:rsid w:val="0093683C"/>
    <w:rsid w:val="00936DAB"/>
    <w:rsid w:val="00940BD2"/>
    <w:rsid w:val="009437DD"/>
    <w:rsid w:val="00944F78"/>
    <w:rsid w:val="009469AB"/>
    <w:rsid w:val="00947917"/>
    <w:rsid w:val="00950175"/>
    <w:rsid w:val="009504B1"/>
    <w:rsid w:val="009516B0"/>
    <w:rsid w:val="00951AC6"/>
    <w:rsid w:val="00951DD5"/>
    <w:rsid w:val="0095215F"/>
    <w:rsid w:val="00952808"/>
    <w:rsid w:val="00954E4D"/>
    <w:rsid w:val="009550DC"/>
    <w:rsid w:val="0096149A"/>
    <w:rsid w:val="00965262"/>
    <w:rsid w:val="00966373"/>
    <w:rsid w:val="00966514"/>
    <w:rsid w:val="009702D1"/>
    <w:rsid w:val="00971A83"/>
    <w:rsid w:val="00973B42"/>
    <w:rsid w:val="00973FFF"/>
    <w:rsid w:val="0097526D"/>
    <w:rsid w:val="009760C5"/>
    <w:rsid w:val="0098017B"/>
    <w:rsid w:val="0098033B"/>
    <w:rsid w:val="00980783"/>
    <w:rsid w:val="00980C87"/>
    <w:rsid w:val="009810EF"/>
    <w:rsid w:val="00981E2F"/>
    <w:rsid w:val="00983D64"/>
    <w:rsid w:val="00984632"/>
    <w:rsid w:val="009905F1"/>
    <w:rsid w:val="00990D9C"/>
    <w:rsid w:val="00990E77"/>
    <w:rsid w:val="00990F67"/>
    <w:rsid w:val="00992828"/>
    <w:rsid w:val="009941E2"/>
    <w:rsid w:val="009943F5"/>
    <w:rsid w:val="0099710A"/>
    <w:rsid w:val="009A0033"/>
    <w:rsid w:val="009A1C12"/>
    <w:rsid w:val="009A3CE9"/>
    <w:rsid w:val="009A6BC7"/>
    <w:rsid w:val="009A7013"/>
    <w:rsid w:val="009A7A32"/>
    <w:rsid w:val="009B08A9"/>
    <w:rsid w:val="009B1372"/>
    <w:rsid w:val="009B52B3"/>
    <w:rsid w:val="009B5C30"/>
    <w:rsid w:val="009B7E1D"/>
    <w:rsid w:val="009C00FF"/>
    <w:rsid w:val="009C2785"/>
    <w:rsid w:val="009C2C0D"/>
    <w:rsid w:val="009C3365"/>
    <w:rsid w:val="009C4509"/>
    <w:rsid w:val="009C4591"/>
    <w:rsid w:val="009C4C8D"/>
    <w:rsid w:val="009C5D88"/>
    <w:rsid w:val="009C609B"/>
    <w:rsid w:val="009C6AED"/>
    <w:rsid w:val="009D13E8"/>
    <w:rsid w:val="009D1859"/>
    <w:rsid w:val="009D2CE9"/>
    <w:rsid w:val="009D30A3"/>
    <w:rsid w:val="009D4059"/>
    <w:rsid w:val="009D45D0"/>
    <w:rsid w:val="009D595F"/>
    <w:rsid w:val="009D716A"/>
    <w:rsid w:val="009E25CA"/>
    <w:rsid w:val="009E3237"/>
    <w:rsid w:val="009E457F"/>
    <w:rsid w:val="009E6751"/>
    <w:rsid w:val="009E6BF6"/>
    <w:rsid w:val="009E7AC4"/>
    <w:rsid w:val="009F08C1"/>
    <w:rsid w:val="009F1930"/>
    <w:rsid w:val="009F1C58"/>
    <w:rsid w:val="009F4DC2"/>
    <w:rsid w:val="009F7239"/>
    <w:rsid w:val="00A00EAC"/>
    <w:rsid w:val="00A03CCA"/>
    <w:rsid w:val="00A04432"/>
    <w:rsid w:val="00A04955"/>
    <w:rsid w:val="00A051A4"/>
    <w:rsid w:val="00A05FD6"/>
    <w:rsid w:val="00A06938"/>
    <w:rsid w:val="00A07103"/>
    <w:rsid w:val="00A11EAC"/>
    <w:rsid w:val="00A17CA1"/>
    <w:rsid w:val="00A2046F"/>
    <w:rsid w:val="00A237EF"/>
    <w:rsid w:val="00A24F88"/>
    <w:rsid w:val="00A25F7D"/>
    <w:rsid w:val="00A30742"/>
    <w:rsid w:val="00A30BC5"/>
    <w:rsid w:val="00A31F80"/>
    <w:rsid w:val="00A35552"/>
    <w:rsid w:val="00A35791"/>
    <w:rsid w:val="00A35FDA"/>
    <w:rsid w:val="00A37AE9"/>
    <w:rsid w:val="00A40787"/>
    <w:rsid w:val="00A419D3"/>
    <w:rsid w:val="00A43481"/>
    <w:rsid w:val="00A449DA"/>
    <w:rsid w:val="00A44BE3"/>
    <w:rsid w:val="00A47EE9"/>
    <w:rsid w:val="00A503CB"/>
    <w:rsid w:val="00A51FE8"/>
    <w:rsid w:val="00A52CC5"/>
    <w:rsid w:val="00A52D09"/>
    <w:rsid w:val="00A52D91"/>
    <w:rsid w:val="00A54133"/>
    <w:rsid w:val="00A5460F"/>
    <w:rsid w:val="00A55583"/>
    <w:rsid w:val="00A556EC"/>
    <w:rsid w:val="00A567F6"/>
    <w:rsid w:val="00A57EF8"/>
    <w:rsid w:val="00A60A51"/>
    <w:rsid w:val="00A6209D"/>
    <w:rsid w:val="00A64071"/>
    <w:rsid w:val="00A6456C"/>
    <w:rsid w:val="00A6646A"/>
    <w:rsid w:val="00A66BD9"/>
    <w:rsid w:val="00A67AED"/>
    <w:rsid w:val="00A702E6"/>
    <w:rsid w:val="00A71CCC"/>
    <w:rsid w:val="00A7288B"/>
    <w:rsid w:val="00A72CF9"/>
    <w:rsid w:val="00A74466"/>
    <w:rsid w:val="00A744CE"/>
    <w:rsid w:val="00A76D5C"/>
    <w:rsid w:val="00A774AE"/>
    <w:rsid w:val="00A85BBE"/>
    <w:rsid w:val="00A93752"/>
    <w:rsid w:val="00A94E8E"/>
    <w:rsid w:val="00A95449"/>
    <w:rsid w:val="00A9581B"/>
    <w:rsid w:val="00A96193"/>
    <w:rsid w:val="00AA2731"/>
    <w:rsid w:val="00AA28BF"/>
    <w:rsid w:val="00AA2CE3"/>
    <w:rsid w:val="00AA5BCF"/>
    <w:rsid w:val="00AA6530"/>
    <w:rsid w:val="00AA65BF"/>
    <w:rsid w:val="00AB1895"/>
    <w:rsid w:val="00AB4B9F"/>
    <w:rsid w:val="00AB57A8"/>
    <w:rsid w:val="00AB722E"/>
    <w:rsid w:val="00AC1798"/>
    <w:rsid w:val="00AC1FCF"/>
    <w:rsid w:val="00AC2BE4"/>
    <w:rsid w:val="00AC3C60"/>
    <w:rsid w:val="00AC40B8"/>
    <w:rsid w:val="00AC4651"/>
    <w:rsid w:val="00AC5DFB"/>
    <w:rsid w:val="00AC6FB5"/>
    <w:rsid w:val="00AD1870"/>
    <w:rsid w:val="00AD3FEF"/>
    <w:rsid w:val="00AD4BC7"/>
    <w:rsid w:val="00AD7AAB"/>
    <w:rsid w:val="00AE1BF6"/>
    <w:rsid w:val="00AE54E3"/>
    <w:rsid w:val="00AE5693"/>
    <w:rsid w:val="00AE5F9B"/>
    <w:rsid w:val="00AE6407"/>
    <w:rsid w:val="00AF022C"/>
    <w:rsid w:val="00AF160F"/>
    <w:rsid w:val="00AF5319"/>
    <w:rsid w:val="00B00514"/>
    <w:rsid w:val="00B02B0C"/>
    <w:rsid w:val="00B0319B"/>
    <w:rsid w:val="00B067D5"/>
    <w:rsid w:val="00B070A6"/>
    <w:rsid w:val="00B11721"/>
    <w:rsid w:val="00B13472"/>
    <w:rsid w:val="00B13979"/>
    <w:rsid w:val="00B175D4"/>
    <w:rsid w:val="00B1771B"/>
    <w:rsid w:val="00B17B51"/>
    <w:rsid w:val="00B17B76"/>
    <w:rsid w:val="00B2110D"/>
    <w:rsid w:val="00B26CB1"/>
    <w:rsid w:val="00B27272"/>
    <w:rsid w:val="00B273CE"/>
    <w:rsid w:val="00B30519"/>
    <w:rsid w:val="00B31FFA"/>
    <w:rsid w:val="00B32394"/>
    <w:rsid w:val="00B330EA"/>
    <w:rsid w:val="00B33C84"/>
    <w:rsid w:val="00B4100A"/>
    <w:rsid w:val="00B4236C"/>
    <w:rsid w:val="00B43F95"/>
    <w:rsid w:val="00B460B6"/>
    <w:rsid w:val="00B477CC"/>
    <w:rsid w:val="00B47FB6"/>
    <w:rsid w:val="00B5132B"/>
    <w:rsid w:val="00B5162F"/>
    <w:rsid w:val="00B52220"/>
    <w:rsid w:val="00B54061"/>
    <w:rsid w:val="00B55FA5"/>
    <w:rsid w:val="00B61C74"/>
    <w:rsid w:val="00B624BB"/>
    <w:rsid w:val="00B631A9"/>
    <w:rsid w:val="00B73094"/>
    <w:rsid w:val="00B73A5A"/>
    <w:rsid w:val="00B744D6"/>
    <w:rsid w:val="00B80074"/>
    <w:rsid w:val="00B800CE"/>
    <w:rsid w:val="00B85EAD"/>
    <w:rsid w:val="00B90E64"/>
    <w:rsid w:val="00B92D28"/>
    <w:rsid w:val="00B9359C"/>
    <w:rsid w:val="00B958E7"/>
    <w:rsid w:val="00B95D4E"/>
    <w:rsid w:val="00B96B6C"/>
    <w:rsid w:val="00B979CF"/>
    <w:rsid w:val="00BA21A7"/>
    <w:rsid w:val="00BA223C"/>
    <w:rsid w:val="00BA2AF2"/>
    <w:rsid w:val="00BA3024"/>
    <w:rsid w:val="00BA516B"/>
    <w:rsid w:val="00BA55EA"/>
    <w:rsid w:val="00BA77B0"/>
    <w:rsid w:val="00BB0D33"/>
    <w:rsid w:val="00BB1612"/>
    <w:rsid w:val="00BB2630"/>
    <w:rsid w:val="00BB2674"/>
    <w:rsid w:val="00BB2902"/>
    <w:rsid w:val="00BB34D2"/>
    <w:rsid w:val="00BB3749"/>
    <w:rsid w:val="00BB483D"/>
    <w:rsid w:val="00BB5318"/>
    <w:rsid w:val="00BC192B"/>
    <w:rsid w:val="00BC4104"/>
    <w:rsid w:val="00BC7953"/>
    <w:rsid w:val="00BC7971"/>
    <w:rsid w:val="00BD3709"/>
    <w:rsid w:val="00BD6554"/>
    <w:rsid w:val="00BD688D"/>
    <w:rsid w:val="00BD6E99"/>
    <w:rsid w:val="00BD7A95"/>
    <w:rsid w:val="00BD7F25"/>
    <w:rsid w:val="00BE1862"/>
    <w:rsid w:val="00BE198F"/>
    <w:rsid w:val="00BE2260"/>
    <w:rsid w:val="00BE2AE0"/>
    <w:rsid w:val="00BE417E"/>
    <w:rsid w:val="00BE53F0"/>
    <w:rsid w:val="00BE5655"/>
    <w:rsid w:val="00BE5C80"/>
    <w:rsid w:val="00BF041C"/>
    <w:rsid w:val="00BF08C0"/>
    <w:rsid w:val="00BF13A4"/>
    <w:rsid w:val="00BF1714"/>
    <w:rsid w:val="00BF1C99"/>
    <w:rsid w:val="00BF4A0A"/>
    <w:rsid w:val="00BF5144"/>
    <w:rsid w:val="00BF54F5"/>
    <w:rsid w:val="00BF5BA3"/>
    <w:rsid w:val="00BF7145"/>
    <w:rsid w:val="00C00959"/>
    <w:rsid w:val="00C02D78"/>
    <w:rsid w:val="00C03925"/>
    <w:rsid w:val="00C060A5"/>
    <w:rsid w:val="00C07859"/>
    <w:rsid w:val="00C1290B"/>
    <w:rsid w:val="00C14F0B"/>
    <w:rsid w:val="00C16D43"/>
    <w:rsid w:val="00C16ECB"/>
    <w:rsid w:val="00C1711D"/>
    <w:rsid w:val="00C21922"/>
    <w:rsid w:val="00C21AF2"/>
    <w:rsid w:val="00C259BF"/>
    <w:rsid w:val="00C273A7"/>
    <w:rsid w:val="00C27FA0"/>
    <w:rsid w:val="00C313DF"/>
    <w:rsid w:val="00C31438"/>
    <w:rsid w:val="00C327D1"/>
    <w:rsid w:val="00C34217"/>
    <w:rsid w:val="00C40954"/>
    <w:rsid w:val="00C41483"/>
    <w:rsid w:val="00C41897"/>
    <w:rsid w:val="00C50C72"/>
    <w:rsid w:val="00C52B30"/>
    <w:rsid w:val="00C53E1B"/>
    <w:rsid w:val="00C54404"/>
    <w:rsid w:val="00C544E8"/>
    <w:rsid w:val="00C5745E"/>
    <w:rsid w:val="00C6088E"/>
    <w:rsid w:val="00C61345"/>
    <w:rsid w:val="00C623F2"/>
    <w:rsid w:val="00C66890"/>
    <w:rsid w:val="00C679A8"/>
    <w:rsid w:val="00C71CBF"/>
    <w:rsid w:val="00C76E77"/>
    <w:rsid w:val="00C77BE5"/>
    <w:rsid w:val="00C80584"/>
    <w:rsid w:val="00C80B2A"/>
    <w:rsid w:val="00C81340"/>
    <w:rsid w:val="00C83389"/>
    <w:rsid w:val="00C837ED"/>
    <w:rsid w:val="00C842BC"/>
    <w:rsid w:val="00C848A3"/>
    <w:rsid w:val="00C85D39"/>
    <w:rsid w:val="00C86CC7"/>
    <w:rsid w:val="00C90810"/>
    <w:rsid w:val="00C90BB2"/>
    <w:rsid w:val="00C945A7"/>
    <w:rsid w:val="00C95EB7"/>
    <w:rsid w:val="00C97120"/>
    <w:rsid w:val="00C97FB7"/>
    <w:rsid w:val="00CA3059"/>
    <w:rsid w:val="00CA66A2"/>
    <w:rsid w:val="00CA751B"/>
    <w:rsid w:val="00CB12E3"/>
    <w:rsid w:val="00CB1C3A"/>
    <w:rsid w:val="00CB2007"/>
    <w:rsid w:val="00CB253F"/>
    <w:rsid w:val="00CB2596"/>
    <w:rsid w:val="00CB59B9"/>
    <w:rsid w:val="00CC0A72"/>
    <w:rsid w:val="00CC0C94"/>
    <w:rsid w:val="00CC4B94"/>
    <w:rsid w:val="00CC5CCD"/>
    <w:rsid w:val="00CC6539"/>
    <w:rsid w:val="00CC6848"/>
    <w:rsid w:val="00CD0903"/>
    <w:rsid w:val="00CD159B"/>
    <w:rsid w:val="00CD4408"/>
    <w:rsid w:val="00CD760F"/>
    <w:rsid w:val="00CD7799"/>
    <w:rsid w:val="00CE0DF9"/>
    <w:rsid w:val="00CE5F04"/>
    <w:rsid w:val="00CE63F7"/>
    <w:rsid w:val="00CF0BD4"/>
    <w:rsid w:val="00CF17FD"/>
    <w:rsid w:val="00CF305A"/>
    <w:rsid w:val="00CF333E"/>
    <w:rsid w:val="00CF4DEF"/>
    <w:rsid w:val="00CF5CAD"/>
    <w:rsid w:val="00CF6B64"/>
    <w:rsid w:val="00CF770F"/>
    <w:rsid w:val="00D013F9"/>
    <w:rsid w:val="00D027E1"/>
    <w:rsid w:val="00D03C03"/>
    <w:rsid w:val="00D06886"/>
    <w:rsid w:val="00D06A9A"/>
    <w:rsid w:val="00D071AC"/>
    <w:rsid w:val="00D11F70"/>
    <w:rsid w:val="00D1204F"/>
    <w:rsid w:val="00D13104"/>
    <w:rsid w:val="00D14344"/>
    <w:rsid w:val="00D15121"/>
    <w:rsid w:val="00D15FCB"/>
    <w:rsid w:val="00D20010"/>
    <w:rsid w:val="00D210B7"/>
    <w:rsid w:val="00D217AB"/>
    <w:rsid w:val="00D23CF7"/>
    <w:rsid w:val="00D250FA"/>
    <w:rsid w:val="00D264C4"/>
    <w:rsid w:val="00D26B8B"/>
    <w:rsid w:val="00D27BEB"/>
    <w:rsid w:val="00D35BDA"/>
    <w:rsid w:val="00D35C60"/>
    <w:rsid w:val="00D41794"/>
    <w:rsid w:val="00D44A0D"/>
    <w:rsid w:val="00D466D9"/>
    <w:rsid w:val="00D46958"/>
    <w:rsid w:val="00D50703"/>
    <w:rsid w:val="00D51F4D"/>
    <w:rsid w:val="00D52CC0"/>
    <w:rsid w:val="00D539FA"/>
    <w:rsid w:val="00D57C55"/>
    <w:rsid w:val="00D61845"/>
    <w:rsid w:val="00D619EB"/>
    <w:rsid w:val="00D62EC7"/>
    <w:rsid w:val="00D67348"/>
    <w:rsid w:val="00D7543A"/>
    <w:rsid w:val="00D77DC2"/>
    <w:rsid w:val="00D82B3B"/>
    <w:rsid w:val="00D83964"/>
    <w:rsid w:val="00D85D8E"/>
    <w:rsid w:val="00D8698D"/>
    <w:rsid w:val="00D87B29"/>
    <w:rsid w:val="00D87BB7"/>
    <w:rsid w:val="00D900D8"/>
    <w:rsid w:val="00D9163A"/>
    <w:rsid w:val="00D93ACB"/>
    <w:rsid w:val="00D93E9D"/>
    <w:rsid w:val="00D95821"/>
    <w:rsid w:val="00D96E50"/>
    <w:rsid w:val="00D97209"/>
    <w:rsid w:val="00D9785F"/>
    <w:rsid w:val="00DA0502"/>
    <w:rsid w:val="00DA06BE"/>
    <w:rsid w:val="00DA22C1"/>
    <w:rsid w:val="00DA2B46"/>
    <w:rsid w:val="00DA3EF6"/>
    <w:rsid w:val="00DB3857"/>
    <w:rsid w:val="00DB3B97"/>
    <w:rsid w:val="00DB3C24"/>
    <w:rsid w:val="00DB5E06"/>
    <w:rsid w:val="00DC07B9"/>
    <w:rsid w:val="00DC0B11"/>
    <w:rsid w:val="00DC0E50"/>
    <w:rsid w:val="00DC1589"/>
    <w:rsid w:val="00DC1A86"/>
    <w:rsid w:val="00DC3C83"/>
    <w:rsid w:val="00DC43A6"/>
    <w:rsid w:val="00DC52E5"/>
    <w:rsid w:val="00DC544E"/>
    <w:rsid w:val="00DC694F"/>
    <w:rsid w:val="00DC7A25"/>
    <w:rsid w:val="00DD0CBB"/>
    <w:rsid w:val="00DD2253"/>
    <w:rsid w:val="00DD241F"/>
    <w:rsid w:val="00DD319B"/>
    <w:rsid w:val="00DD3ACF"/>
    <w:rsid w:val="00DE1788"/>
    <w:rsid w:val="00DE2229"/>
    <w:rsid w:val="00DE7A65"/>
    <w:rsid w:val="00DF0035"/>
    <w:rsid w:val="00DF0792"/>
    <w:rsid w:val="00DF09AD"/>
    <w:rsid w:val="00DF1324"/>
    <w:rsid w:val="00DF1B8F"/>
    <w:rsid w:val="00DF2573"/>
    <w:rsid w:val="00DF2A46"/>
    <w:rsid w:val="00DF38BB"/>
    <w:rsid w:val="00DF4EDB"/>
    <w:rsid w:val="00DF59BD"/>
    <w:rsid w:val="00DF69A7"/>
    <w:rsid w:val="00DF6A18"/>
    <w:rsid w:val="00DF7E79"/>
    <w:rsid w:val="00E026E1"/>
    <w:rsid w:val="00E02755"/>
    <w:rsid w:val="00E02E61"/>
    <w:rsid w:val="00E03794"/>
    <w:rsid w:val="00E051BB"/>
    <w:rsid w:val="00E14D7F"/>
    <w:rsid w:val="00E167E0"/>
    <w:rsid w:val="00E17EA3"/>
    <w:rsid w:val="00E17F3B"/>
    <w:rsid w:val="00E2024A"/>
    <w:rsid w:val="00E20CB2"/>
    <w:rsid w:val="00E20E23"/>
    <w:rsid w:val="00E224E8"/>
    <w:rsid w:val="00E225E7"/>
    <w:rsid w:val="00E25827"/>
    <w:rsid w:val="00E258E8"/>
    <w:rsid w:val="00E269CE"/>
    <w:rsid w:val="00E27F39"/>
    <w:rsid w:val="00E31330"/>
    <w:rsid w:val="00E3416A"/>
    <w:rsid w:val="00E34DA1"/>
    <w:rsid w:val="00E34DA4"/>
    <w:rsid w:val="00E36515"/>
    <w:rsid w:val="00E43379"/>
    <w:rsid w:val="00E4441F"/>
    <w:rsid w:val="00E453BD"/>
    <w:rsid w:val="00E5211F"/>
    <w:rsid w:val="00E524E9"/>
    <w:rsid w:val="00E52D39"/>
    <w:rsid w:val="00E53363"/>
    <w:rsid w:val="00E55D31"/>
    <w:rsid w:val="00E57120"/>
    <w:rsid w:val="00E57465"/>
    <w:rsid w:val="00E57760"/>
    <w:rsid w:val="00E57DA3"/>
    <w:rsid w:val="00E634BA"/>
    <w:rsid w:val="00E63A56"/>
    <w:rsid w:val="00E646A1"/>
    <w:rsid w:val="00E73B17"/>
    <w:rsid w:val="00E741F1"/>
    <w:rsid w:val="00E75071"/>
    <w:rsid w:val="00E767BB"/>
    <w:rsid w:val="00E7761A"/>
    <w:rsid w:val="00E81B14"/>
    <w:rsid w:val="00E8276D"/>
    <w:rsid w:val="00E84AF7"/>
    <w:rsid w:val="00E86C82"/>
    <w:rsid w:val="00E87FEB"/>
    <w:rsid w:val="00E91B41"/>
    <w:rsid w:val="00E92C3D"/>
    <w:rsid w:val="00E93885"/>
    <w:rsid w:val="00E944F6"/>
    <w:rsid w:val="00E96082"/>
    <w:rsid w:val="00E96B50"/>
    <w:rsid w:val="00EA036A"/>
    <w:rsid w:val="00EA0D08"/>
    <w:rsid w:val="00EA1972"/>
    <w:rsid w:val="00EA3997"/>
    <w:rsid w:val="00EA4770"/>
    <w:rsid w:val="00EA5C32"/>
    <w:rsid w:val="00EA7EBE"/>
    <w:rsid w:val="00EB3923"/>
    <w:rsid w:val="00EB5F47"/>
    <w:rsid w:val="00EC015D"/>
    <w:rsid w:val="00EC0B32"/>
    <w:rsid w:val="00EC0DCE"/>
    <w:rsid w:val="00EC14D7"/>
    <w:rsid w:val="00EC159E"/>
    <w:rsid w:val="00EC23A9"/>
    <w:rsid w:val="00EC2D54"/>
    <w:rsid w:val="00EC2FC7"/>
    <w:rsid w:val="00EC3D64"/>
    <w:rsid w:val="00EC4B7C"/>
    <w:rsid w:val="00EC4EE5"/>
    <w:rsid w:val="00ED397B"/>
    <w:rsid w:val="00ED4144"/>
    <w:rsid w:val="00ED4A73"/>
    <w:rsid w:val="00ED5053"/>
    <w:rsid w:val="00ED56C4"/>
    <w:rsid w:val="00ED70CC"/>
    <w:rsid w:val="00ED7539"/>
    <w:rsid w:val="00EE0139"/>
    <w:rsid w:val="00EE283F"/>
    <w:rsid w:val="00EE3F0C"/>
    <w:rsid w:val="00EE4076"/>
    <w:rsid w:val="00EE5E11"/>
    <w:rsid w:val="00EE6A17"/>
    <w:rsid w:val="00EF0371"/>
    <w:rsid w:val="00EF089E"/>
    <w:rsid w:val="00EF1711"/>
    <w:rsid w:val="00EF2775"/>
    <w:rsid w:val="00EF38B2"/>
    <w:rsid w:val="00EF3FA8"/>
    <w:rsid w:val="00EF4E4A"/>
    <w:rsid w:val="00EF6C0A"/>
    <w:rsid w:val="00F049E5"/>
    <w:rsid w:val="00F067DE"/>
    <w:rsid w:val="00F06877"/>
    <w:rsid w:val="00F10A15"/>
    <w:rsid w:val="00F10E64"/>
    <w:rsid w:val="00F11A99"/>
    <w:rsid w:val="00F13038"/>
    <w:rsid w:val="00F156DF"/>
    <w:rsid w:val="00F1641E"/>
    <w:rsid w:val="00F2306B"/>
    <w:rsid w:val="00F3052D"/>
    <w:rsid w:val="00F31049"/>
    <w:rsid w:val="00F323D2"/>
    <w:rsid w:val="00F3282C"/>
    <w:rsid w:val="00F32DDB"/>
    <w:rsid w:val="00F351BA"/>
    <w:rsid w:val="00F35E01"/>
    <w:rsid w:val="00F36B91"/>
    <w:rsid w:val="00F373D3"/>
    <w:rsid w:val="00F37D88"/>
    <w:rsid w:val="00F40F2C"/>
    <w:rsid w:val="00F42A31"/>
    <w:rsid w:val="00F43032"/>
    <w:rsid w:val="00F43F9C"/>
    <w:rsid w:val="00F443FE"/>
    <w:rsid w:val="00F44EC1"/>
    <w:rsid w:val="00F46366"/>
    <w:rsid w:val="00F47897"/>
    <w:rsid w:val="00F47C46"/>
    <w:rsid w:val="00F52D71"/>
    <w:rsid w:val="00F53B30"/>
    <w:rsid w:val="00F53D3A"/>
    <w:rsid w:val="00F55384"/>
    <w:rsid w:val="00F556F9"/>
    <w:rsid w:val="00F559D1"/>
    <w:rsid w:val="00F60DA0"/>
    <w:rsid w:val="00F6161F"/>
    <w:rsid w:val="00F61B24"/>
    <w:rsid w:val="00F625E9"/>
    <w:rsid w:val="00F6401E"/>
    <w:rsid w:val="00F65F88"/>
    <w:rsid w:val="00F7027C"/>
    <w:rsid w:val="00F703AC"/>
    <w:rsid w:val="00F71267"/>
    <w:rsid w:val="00F729B7"/>
    <w:rsid w:val="00F7392D"/>
    <w:rsid w:val="00F739D2"/>
    <w:rsid w:val="00F7570C"/>
    <w:rsid w:val="00F75AC9"/>
    <w:rsid w:val="00F808B6"/>
    <w:rsid w:val="00F814F0"/>
    <w:rsid w:val="00F8287B"/>
    <w:rsid w:val="00F82ADA"/>
    <w:rsid w:val="00F842E5"/>
    <w:rsid w:val="00F86A17"/>
    <w:rsid w:val="00F86C0D"/>
    <w:rsid w:val="00F87033"/>
    <w:rsid w:val="00F9280B"/>
    <w:rsid w:val="00F9348F"/>
    <w:rsid w:val="00F9437E"/>
    <w:rsid w:val="00F9538D"/>
    <w:rsid w:val="00F95531"/>
    <w:rsid w:val="00FA12F5"/>
    <w:rsid w:val="00FA4031"/>
    <w:rsid w:val="00FA5270"/>
    <w:rsid w:val="00FA5E5A"/>
    <w:rsid w:val="00FA7100"/>
    <w:rsid w:val="00FA7228"/>
    <w:rsid w:val="00FA7780"/>
    <w:rsid w:val="00FB0616"/>
    <w:rsid w:val="00FB0E6B"/>
    <w:rsid w:val="00FB2378"/>
    <w:rsid w:val="00FB2E84"/>
    <w:rsid w:val="00FB3D2C"/>
    <w:rsid w:val="00FB459D"/>
    <w:rsid w:val="00FB78F6"/>
    <w:rsid w:val="00FB7B21"/>
    <w:rsid w:val="00FC1351"/>
    <w:rsid w:val="00FC1993"/>
    <w:rsid w:val="00FC60C1"/>
    <w:rsid w:val="00FC6137"/>
    <w:rsid w:val="00FC6F9A"/>
    <w:rsid w:val="00FD15A5"/>
    <w:rsid w:val="00FD1892"/>
    <w:rsid w:val="00FD3B3A"/>
    <w:rsid w:val="00FD5A49"/>
    <w:rsid w:val="00FE77AE"/>
    <w:rsid w:val="00FE7DC2"/>
    <w:rsid w:val="00FE7E25"/>
    <w:rsid w:val="00FF0596"/>
    <w:rsid w:val="00FF25C9"/>
    <w:rsid w:val="00FF2EAB"/>
    <w:rsid w:val="00FF5591"/>
    <w:rsid w:val="00FF737B"/>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3C63"/>
  <w15:docId w15:val="{FE10CC56-BA88-4D5F-A1B9-A790EF4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B41"/>
    <w:pPr>
      <w:spacing w:after="0" w:line="240" w:lineRule="auto"/>
    </w:pPr>
    <w:rPr>
      <w:rFonts w:ascii="Times New Roman" w:eastAsia="Times New Roman" w:hAnsi="Times New Roman" w:cs="Times New Roman"/>
      <w:bCs/>
      <w:kern w:val="16"/>
      <w:sz w:val="28"/>
      <w:szCs w:val="28"/>
    </w:rPr>
  </w:style>
  <w:style w:type="paragraph" w:styleId="Heading1">
    <w:name w:val="heading 1"/>
    <w:basedOn w:val="Normal"/>
    <w:next w:val="Normal"/>
    <w:link w:val="Heading1Char"/>
    <w:uiPriority w:val="9"/>
    <w:qFormat/>
    <w:rsid w:val="00225628"/>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semiHidden/>
    <w:unhideWhenUsed/>
    <w:qFormat/>
    <w:rsid w:val="00225628"/>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4">
    <w:name w:val="heading 4"/>
    <w:basedOn w:val="Normal"/>
    <w:next w:val="Normal"/>
    <w:link w:val="Heading4Char"/>
    <w:uiPriority w:val="9"/>
    <w:unhideWhenUsed/>
    <w:qFormat/>
    <w:rsid w:val="00392BC7"/>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92BC7"/>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91B41"/>
    <w:pPr>
      <w:keepNext/>
      <w:jc w:val="center"/>
      <w:outlineLvl w:val="6"/>
    </w:pPr>
    <w:rPr>
      <w:bCs w:val="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91B41"/>
    <w:rPr>
      <w:rFonts w:ascii="Times New Roman" w:eastAsia="Times New Roman" w:hAnsi="Times New Roman" w:cs="Times New Roman"/>
      <w:sz w:val="28"/>
      <w:szCs w:val="20"/>
    </w:rPr>
  </w:style>
  <w:style w:type="paragraph" w:styleId="BodyText">
    <w:name w:val="Body Text"/>
    <w:basedOn w:val="Normal"/>
    <w:link w:val="BodyTextChar"/>
    <w:rsid w:val="00E91B41"/>
    <w:pPr>
      <w:spacing w:after="120"/>
    </w:pPr>
  </w:style>
  <w:style w:type="character" w:customStyle="1" w:styleId="BodyTextChar">
    <w:name w:val="Body Text Char"/>
    <w:basedOn w:val="DefaultParagraphFont"/>
    <w:link w:val="BodyText"/>
    <w:rsid w:val="00E91B41"/>
    <w:rPr>
      <w:rFonts w:ascii="Times New Roman" w:eastAsia="Times New Roman" w:hAnsi="Times New Roman" w:cs="Times New Roman"/>
      <w:bCs/>
      <w:kern w:val="16"/>
      <w:sz w:val="28"/>
      <w:szCs w:val="28"/>
    </w:rPr>
  </w:style>
  <w:style w:type="paragraph" w:styleId="BodyTextIndent3">
    <w:name w:val="Body Text Indent 3"/>
    <w:basedOn w:val="Normal"/>
    <w:link w:val="BodyTextIndent3Char"/>
    <w:rsid w:val="00E91B41"/>
    <w:pPr>
      <w:spacing w:after="120"/>
      <w:ind w:left="360"/>
    </w:pPr>
    <w:rPr>
      <w:sz w:val="16"/>
      <w:szCs w:val="16"/>
    </w:rPr>
  </w:style>
  <w:style w:type="character" w:customStyle="1" w:styleId="BodyTextIndent3Char">
    <w:name w:val="Body Text Indent 3 Char"/>
    <w:basedOn w:val="DefaultParagraphFont"/>
    <w:link w:val="BodyTextIndent3"/>
    <w:rsid w:val="00E91B41"/>
    <w:rPr>
      <w:rFonts w:ascii="Times New Roman" w:eastAsia="Times New Roman" w:hAnsi="Times New Roman" w:cs="Times New Roman"/>
      <w:bCs/>
      <w:kern w:val="16"/>
      <w:sz w:val="16"/>
      <w:szCs w:val="16"/>
    </w:rPr>
  </w:style>
  <w:style w:type="paragraph" w:styleId="BodyTextIndent">
    <w:name w:val="Body Text Indent"/>
    <w:basedOn w:val="Normal"/>
    <w:link w:val="BodyTextIndentChar"/>
    <w:rsid w:val="00E91B41"/>
    <w:pPr>
      <w:spacing w:after="120"/>
      <w:ind w:left="360"/>
    </w:pPr>
  </w:style>
  <w:style w:type="character" w:customStyle="1" w:styleId="BodyTextIndentChar">
    <w:name w:val="Body Text Indent Char"/>
    <w:basedOn w:val="DefaultParagraphFont"/>
    <w:link w:val="BodyTextIndent"/>
    <w:rsid w:val="00E91B41"/>
    <w:rPr>
      <w:rFonts w:ascii="Times New Roman" w:eastAsia="Times New Roman" w:hAnsi="Times New Roman" w:cs="Times New Roman"/>
      <w:bCs/>
      <w:kern w:val="16"/>
      <w:sz w:val="28"/>
      <w:szCs w:val="28"/>
    </w:rPr>
  </w:style>
  <w:style w:type="paragraph" w:styleId="NormalWeb">
    <w:name w:val="Normal (Web)"/>
    <w:basedOn w:val="Normal"/>
    <w:link w:val="NormalWebChar"/>
    <w:uiPriority w:val="99"/>
    <w:qFormat/>
    <w:rsid w:val="00E91B41"/>
    <w:pPr>
      <w:spacing w:before="100" w:beforeAutospacing="1" w:after="100" w:afterAutospacing="1"/>
    </w:pPr>
    <w:rPr>
      <w:bCs w:val="0"/>
      <w:kern w:val="0"/>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qFormat/>
    <w:rsid w:val="00E91B41"/>
    <w:rPr>
      <w:kern w:val="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rsid w:val="00E91B41"/>
    <w:rPr>
      <w:rFonts w:ascii="Times New Roman" w:eastAsia="Times New Roman" w:hAnsi="Times New Roman" w:cs="Times New Roman"/>
      <w:bCs/>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ootnote dich,SUPERS, BVI fnr"/>
    <w:link w:val="RefChar"/>
    <w:uiPriority w:val="99"/>
    <w:qFormat/>
    <w:rsid w:val="00E91B41"/>
    <w:rPr>
      <w:vertAlign w:val="superscript"/>
    </w:rPr>
  </w:style>
  <w:style w:type="character" w:customStyle="1" w:styleId="NormalWebChar">
    <w:name w:val="Normal (Web) Char"/>
    <w:link w:val="NormalWeb"/>
    <w:rsid w:val="00E91B41"/>
    <w:rPr>
      <w:rFonts w:ascii="Times New Roman" w:eastAsia="Times New Roman" w:hAnsi="Times New Roman" w:cs="Times New Roman"/>
      <w:sz w:val="24"/>
      <w:szCs w:val="24"/>
    </w:rPr>
  </w:style>
  <w:style w:type="paragraph" w:styleId="BodyTextIndent2">
    <w:name w:val="Body Text Indent 2"/>
    <w:basedOn w:val="Normal"/>
    <w:link w:val="BodyTextIndent2Char"/>
    <w:rsid w:val="00E91B41"/>
    <w:pPr>
      <w:spacing w:after="120" w:line="480" w:lineRule="auto"/>
      <w:ind w:left="360"/>
    </w:pPr>
  </w:style>
  <w:style w:type="character" w:customStyle="1" w:styleId="BodyTextIndent2Char">
    <w:name w:val="Body Text Indent 2 Char"/>
    <w:basedOn w:val="DefaultParagraphFont"/>
    <w:link w:val="BodyTextIndent2"/>
    <w:rsid w:val="00E91B41"/>
    <w:rPr>
      <w:rFonts w:ascii="Times New Roman" w:eastAsia="Times New Roman" w:hAnsi="Times New Roman" w:cs="Times New Roman"/>
      <w:bCs/>
      <w:kern w:val="16"/>
      <w:sz w:val="28"/>
      <w:szCs w:val="28"/>
    </w:rPr>
  </w:style>
  <w:style w:type="paragraph" w:customStyle="1" w:styleId="Style138">
    <w:name w:val="Style138"/>
    <w:basedOn w:val="Normal"/>
    <w:autoRedefine/>
    <w:rsid w:val="00E91B41"/>
    <w:pPr>
      <w:jc w:val="both"/>
    </w:pPr>
    <w:rPr>
      <w:bCs w:val="0"/>
      <w:kern w:val="0"/>
      <w:szCs w:val="20"/>
    </w:rPr>
  </w:style>
  <w:style w:type="character" w:customStyle="1" w:styleId="Heading4Char">
    <w:name w:val="Heading 4 Char"/>
    <w:basedOn w:val="DefaultParagraphFont"/>
    <w:link w:val="Heading4"/>
    <w:uiPriority w:val="9"/>
    <w:rsid w:val="00392BC7"/>
    <w:rPr>
      <w:rFonts w:asciiTheme="majorHAnsi" w:eastAsiaTheme="majorEastAsia" w:hAnsiTheme="majorHAnsi" w:cstheme="majorBidi"/>
      <w:b/>
      <w:i/>
      <w:iCs/>
      <w:color w:val="4F81BD" w:themeColor="accent1"/>
      <w:kern w:val="16"/>
      <w:sz w:val="28"/>
      <w:szCs w:val="28"/>
    </w:rPr>
  </w:style>
  <w:style w:type="character" w:customStyle="1" w:styleId="Heading5Char">
    <w:name w:val="Heading 5 Char"/>
    <w:basedOn w:val="DefaultParagraphFont"/>
    <w:link w:val="Heading5"/>
    <w:uiPriority w:val="9"/>
    <w:semiHidden/>
    <w:rsid w:val="00392BC7"/>
    <w:rPr>
      <w:rFonts w:asciiTheme="majorHAnsi" w:eastAsiaTheme="majorEastAsia" w:hAnsiTheme="majorHAnsi" w:cstheme="majorBidi"/>
      <w:bCs/>
      <w:color w:val="243F60" w:themeColor="accent1" w:themeShade="7F"/>
      <w:kern w:val="16"/>
      <w:sz w:val="28"/>
      <w:szCs w:val="28"/>
    </w:rPr>
  </w:style>
  <w:style w:type="paragraph" w:customStyle="1" w:styleId="kieu1">
    <w:name w:val="kieu1"/>
    <w:basedOn w:val="Normal"/>
    <w:rsid w:val="00392BC7"/>
    <w:pPr>
      <w:widowControl w:val="0"/>
      <w:spacing w:before="80" w:after="80" w:line="269" w:lineRule="auto"/>
      <w:ind w:firstLine="567"/>
      <w:jc w:val="both"/>
    </w:pPr>
    <w:rPr>
      <w:rFonts w:ascii=".VnTime" w:hAnsi=".VnTime"/>
      <w:bCs w:val="0"/>
      <w:kern w:val="0"/>
      <w:szCs w:val="20"/>
      <w:lang w:val="en-GB"/>
    </w:rPr>
  </w:style>
  <w:style w:type="paragraph" w:styleId="ListParagraph">
    <w:name w:val="List Paragraph"/>
    <w:basedOn w:val="Normal"/>
    <w:uiPriority w:val="34"/>
    <w:qFormat/>
    <w:rsid w:val="00B31FFA"/>
    <w:pPr>
      <w:ind w:left="720"/>
      <w:contextualSpacing/>
    </w:pPr>
  </w:style>
  <w:style w:type="character" w:styleId="Hyperlink">
    <w:name w:val="Hyperlink"/>
    <w:rsid w:val="00297107"/>
    <w:rPr>
      <w:color w:val="0000FF"/>
      <w:u w:val="single"/>
    </w:rPr>
  </w:style>
  <w:style w:type="paragraph" w:customStyle="1" w:styleId="sapo">
    <w:name w:val="sapo"/>
    <w:basedOn w:val="Normal"/>
    <w:rsid w:val="002A6106"/>
    <w:rPr>
      <w:bCs w:val="0"/>
      <w:kern w:val="0"/>
      <w:sz w:val="24"/>
      <w:szCs w:val="24"/>
    </w:rPr>
  </w:style>
  <w:style w:type="character" w:styleId="Strong">
    <w:name w:val="Strong"/>
    <w:basedOn w:val="DefaultParagraphFont"/>
    <w:uiPriority w:val="22"/>
    <w:qFormat/>
    <w:rsid w:val="0040246B"/>
    <w:rPr>
      <w:b/>
      <w:bCs/>
    </w:rPr>
  </w:style>
  <w:style w:type="paragraph" w:styleId="BalloonText">
    <w:name w:val="Balloon Text"/>
    <w:basedOn w:val="Normal"/>
    <w:link w:val="BalloonTextChar"/>
    <w:uiPriority w:val="99"/>
    <w:semiHidden/>
    <w:unhideWhenUsed/>
    <w:rsid w:val="0040246B"/>
    <w:rPr>
      <w:rFonts w:ascii="Tahoma" w:hAnsi="Tahoma" w:cs="Tahoma"/>
      <w:sz w:val="16"/>
      <w:szCs w:val="16"/>
    </w:rPr>
  </w:style>
  <w:style w:type="character" w:customStyle="1" w:styleId="BalloonTextChar">
    <w:name w:val="Balloon Text Char"/>
    <w:basedOn w:val="DefaultParagraphFont"/>
    <w:link w:val="BalloonText"/>
    <w:uiPriority w:val="99"/>
    <w:semiHidden/>
    <w:rsid w:val="0040246B"/>
    <w:rPr>
      <w:rFonts w:ascii="Tahoma" w:eastAsia="Times New Roman" w:hAnsi="Tahoma" w:cs="Tahoma"/>
      <w:bCs/>
      <w:kern w:val="16"/>
      <w:sz w:val="16"/>
      <w:szCs w:val="16"/>
    </w:rPr>
  </w:style>
  <w:style w:type="paragraph" w:customStyle="1" w:styleId="CharChar3CharChar">
    <w:name w:val="Char Char3 Char Char"/>
    <w:basedOn w:val="Normal"/>
    <w:semiHidden/>
    <w:rsid w:val="00A6456C"/>
    <w:pPr>
      <w:spacing w:after="160" w:line="240" w:lineRule="exact"/>
    </w:pPr>
    <w:rPr>
      <w:rFonts w:ascii="Arial" w:hAnsi="Arial"/>
      <w:bCs w:val="0"/>
      <w:kern w:val="0"/>
      <w:sz w:val="22"/>
      <w:szCs w:val="22"/>
    </w:rPr>
  </w:style>
  <w:style w:type="character" w:customStyle="1" w:styleId="Heading1Char">
    <w:name w:val="Heading 1 Char"/>
    <w:basedOn w:val="DefaultParagraphFont"/>
    <w:link w:val="Heading1"/>
    <w:uiPriority w:val="9"/>
    <w:rsid w:val="00225628"/>
    <w:rPr>
      <w:rFonts w:asciiTheme="majorHAnsi" w:eastAsiaTheme="majorEastAsia" w:hAnsiTheme="majorHAnsi" w:cstheme="majorBidi"/>
      <w:b/>
      <w:color w:val="365F91" w:themeColor="accent1" w:themeShade="BF"/>
      <w:kern w:val="16"/>
      <w:sz w:val="28"/>
      <w:szCs w:val="28"/>
    </w:rPr>
  </w:style>
  <w:style w:type="character" w:customStyle="1" w:styleId="Heading2Char">
    <w:name w:val="Heading 2 Char"/>
    <w:basedOn w:val="DefaultParagraphFont"/>
    <w:link w:val="Heading2"/>
    <w:uiPriority w:val="9"/>
    <w:semiHidden/>
    <w:rsid w:val="00225628"/>
    <w:rPr>
      <w:rFonts w:asciiTheme="majorHAnsi" w:eastAsiaTheme="majorEastAsia" w:hAnsiTheme="majorHAnsi" w:cstheme="majorBidi"/>
      <w:b/>
      <w:color w:val="4F81BD" w:themeColor="accent1"/>
      <w:kern w:val="16"/>
      <w:sz w:val="26"/>
      <w:szCs w:val="26"/>
    </w:rPr>
  </w:style>
  <w:style w:type="paragraph" w:styleId="Header">
    <w:name w:val="header"/>
    <w:basedOn w:val="Normal"/>
    <w:link w:val="HeaderChar"/>
    <w:uiPriority w:val="99"/>
    <w:unhideWhenUsed/>
    <w:rsid w:val="00DC544E"/>
    <w:pPr>
      <w:tabs>
        <w:tab w:val="center" w:pos="4680"/>
        <w:tab w:val="right" w:pos="9360"/>
      </w:tabs>
    </w:pPr>
  </w:style>
  <w:style w:type="character" w:customStyle="1" w:styleId="HeaderChar">
    <w:name w:val="Header Char"/>
    <w:basedOn w:val="DefaultParagraphFont"/>
    <w:link w:val="Header"/>
    <w:uiPriority w:val="99"/>
    <w:rsid w:val="00DC544E"/>
    <w:rPr>
      <w:rFonts w:ascii="Times New Roman" w:eastAsia="Times New Roman" w:hAnsi="Times New Roman" w:cs="Times New Roman"/>
      <w:bCs/>
      <w:kern w:val="16"/>
      <w:sz w:val="28"/>
      <w:szCs w:val="28"/>
    </w:rPr>
  </w:style>
  <w:style w:type="paragraph" w:styleId="Footer">
    <w:name w:val="footer"/>
    <w:basedOn w:val="Normal"/>
    <w:link w:val="FooterChar"/>
    <w:uiPriority w:val="99"/>
    <w:unhideWhenUsed/>
    <w:rsid w:val="00DC544E"/>
    <w:pPr>
      <w:tabs>
        <w:tab w:val="center" w:pos="4680"/>
        <w:tab w:val="right" w:pos="9360"/>
      </w:tabs>
    </w:pPr>
  </w:style>
  <w:style w:type="character" w:customStyle="1" w:styleId="FooterChar">
    <w:name w:val="Footer Char"/>
    <w:basedOn w:val="DefaultParagraphFont"/>
    <w:link w:val="Footer"/>
    <w:uiPriority w:val="99"/>
    <w:rsid w:val="00DC544E"/>
    <w:rPr>
      <w:rFonts w:ascii="Times New Roman" w:eastAsia="Times New Roman" w:hAnsi="Times New Roman" w:cs="Times New Roman"/>
      <w:bCs/>
      <w:kern w:val="16"/>
      <w:sz w:val="28"/>
      <w:szCs w:val="28"/>
    </w:rPr>
  </w:style>
  <w:style w:type="paragraph" w:customStyle="1" w:styleId="Form">
    <w:name w:val="Form"/>
    <w:basedOn w:val="Normal"/>
    <w:link w:val="FormChar"/>
    <w:rsid w:val="00D52CC0"/>
    <w:pPr>
      <w:tabs>
        <w:tab w:val="left" w:pos="1440"/>
        <w:tab w:val="left" w:pos="2160"/>
        <w:tab w:val="left" w:pos="2880"/>
        <w:tab w:val="right" w:pos="7200"/>
      </w:tabs>
      <w:spacing w:before="60" w:after="60"/>
      <w:ind w:firstLine="720"/>
      <w:jc w:val="both"/>
    </w:pPr>
    <w:rPr>
      <w:rFonts w:ascii=".VnTime" w:hAnsi=".VnTime"/>
      <w:bCs w:val="0"/>
      <w:kern w:val="0"/>
      <w:szCs w:val="20"/>
      <w:lang w:val="en-GB"/>
    </w:rPr>
  </w:style>
  <w:style w:type="character" w:customStyle="1" w:styleId="FormChar">
    <w:name w:val="Form Char"/>
    <w:link w:val="Form"/>
    <w:rsid w:val="00D52CC0"/>
    <w:rPr>
      <w:rFonts w:ascii=".VnTime" w:eastAsia="Times New Roman" w:hAnsi=".VnTime" w:cs="Times New Roman"/>
      <w:sz w:val="28"/>
      <w:szCs w:val="20"/>
      <w:lang w:val="en-GB"/>
    </w:rPr>
  </w:style>
  <w:style w:type="table" w:styleId="TableGrid">
    <w:name w:val="Table Grid"/>
    <w:basedOn w:val="TableNormal"/>
    <w:uiPriority w:val="59"/>
    <w:rsid w:val="0056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basedOn w:val="Normal"/>
    <w:link w:val="FootnoteReference"/>
    <w:uiPriority w:val="99"/>
    <w:qFormat/>
    <w:rsid w:val="005B329C"/>
    <w:pPr>
      <w:spacing w:after="160" w:line="240" w:lineRule="exact"/>
    </w:pPr>
    <w:rPr>
      <w:rFonts w:asciiTheme="minorHAnsi" w:eastAsiaTheme="minorHAnsi" w:hAnsiTheme="minorHAnsi" w:cstheme="minorBidi"/>
      <w:bCs w:val="0"/>
      <w:kern w:val="0"/>
      <w:sz w:val="22"/>
      <w:szCs w:val="22"/>
      <w:vertAlign w:val="superscript"/>
    </w:rPr>
  </w:style>
  <w:style w:type="character" w:customStyle="1" w:styleId="normal-h1">
    <w:name w:val="normal-h1"/>
    <w:qFormat/>
    <w:rsid w:val="005B329C"/>
    <w:rPr>
      <w:rFonts w:ascii="Times New Roman" w:hAnsi="Times New Roman" w:cs="Times New Roman" w:hint="default"/>
      <w:color w:val="0000FF"/>
      <w:sz w:val="24"/>
      <w:szCs w:val="24"/>
    </w:rPr>
  </w:style>
  <w:style w:type="paragraph" w:customStyle="1" w:styleId="normal-p">
    <w:name w:val="normal-p"/>
    <w:basedOn w:val="Normal"/>
    <w:qFormat/>
    <w:rsid w:val="005B329C"/>
    <w:pPr>
      <w:spacing w:before="100" w:beforeAutospacing="1" w:after="100" w:afterAutospacing="1" w:line="300" w:lineRule="exact"/>
      <w:jc w:val="both"/>
    </w:pPr>
    <w:rPr>
      <w:rFonts w:ascii="Calibri" w:eastAsia="Calibri" w:hAnsi="Calibri"/>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108206586">
      <w:bodyDiv w:val="1"/>
      <w:marLeft w:val="0"/>
      <w:marRight w:val="0"/>
      <w:marTop w:val="0"/>
      <w:marBottom w:val="0"/>
      <w:divBdr>
        <w:top w:val="none" w:sz="0" w:space="0" w:color="auto"/>
        <w:left w:val="none" w:sz="0" w:space="0" w:color="auto"/>
        <w:bottom w:val="none" w:sz="0" w:space="0" w:color="auto"/>
        <w:right w:val="none" w:sz="0" w:space="0" w:color="auto"/>
      </w:divBdr>
    </w:div>
    <w:div w:id="195505691">
      <w:bodyDiv w:val="1"/>
      <w:marLeft w:val="0"/>
      <w:marRight w:val="0"/>
      <w:marTop w:val="0"/>
      <w:marBottom w:val="0"/>
      <w:divBdr>
        <w:top w:val="none" w:sz="0" w:space="0" w:color="auto"/>
        <w:left w:val="none" w:sz="0" w:space="0" w:color="auto"/>
        <w:bottom w:val="none" w:sz="0" w:space="0" w:color="auto"/>
        <w:right w:val="none" w:sz="0" w:space="0" w:color="auto"/>
      </w:divBdr>
    </w:div>
    <w:div w:id="202791639">
      <w:bodyDiv w:val="1"/>
      <w:marLeft w:val="0"/>
      <w:marRight w:val="0"/>
      <w:marTop w:val="0"/>
      <w:marBottom w:val="0"/>
      <w:divBdr>
        <w:top w:val="none" w:sz="0" w:space="0" w:color="auto"/>
        <w:left w:val="none" w:sz="0" w:space="0" w:color="auto"/>
        <w:bottom w:val="none" w:sz="0" w:space="0" w:color="auto"/>
        <w:right w:val="none" w:sz="0" w:space="0" w:color="auto"/>
      </w:divBdr>
    </w:div>
    <w:div w:id="468016590">
      <w:bodyDiv w:val="1"/>
      <w:marLeft w:val="0"/>
      <w:marRight w:val="0"/>
      <w:marTop w:val="0"/>
      <w:marBottom w:val="0"/>
      <w:divBdr>
        <w:top w:val="none" w:sz="0" w:space="0" w:color="auto"/>
        <w:left w:val="none" w:sz="0" w:space="0" w:color="auto"/>
        <w:bottom w:val="none" w:sz="0" w:space="0" w:color="auto"/>
        <w:right w:val="none" w:sz="0" w:space="0" w:color="auto"/>
      </w:divBdr>
      <w:divsChild>
        <w:div w:id="1429043646">
          <w:marLeft w:val="0"/>
          <w:marRight w:val="0"/>
          <w:marTop w:val="0"/>
          <w:marBottom w:val="0"/>
          <w:divBdr>
            <w:top w:val="none" w:sz="0" w:space="0" w:color="auto"/>
            <w:left w:val="none" w:sz="0" w:space="0" w:color="auto"/>
            <w:bottom w:val="none" w:sz="0" w:space="0" w:color="auto"/>
            <w:right w:val="none" w:sz="0" w:space="0" w:color="auto"/>
          </w:divBdr>
          <w:divsChild>
            <w:div w:id="1756322638">
              <w:marLeft w:val="0"/>
              <w:marRight w:val="0"/>
              <w:marTop w:val="0"/>
              <w:marBottom w:val="0"/>
              <w:divBdr>
                <w:top w:val="none" w:sz="0" w:space="0" w:color="auto"/>
                <w:left w:val="none" w:sz="0" w:space="0" w:color="auto"/>
                <w:bottom w:val="none" w:sz="0" w:space="0" w:color="auto"/>
                <w:right w:val="none" w:sz="0" w:space="0" w:color="auto"/>
              </w:divBdr>
              <w:divsChild>
                <w:div w:id="1845319305">
                  <w:marLeft w:val="0"/>
                  <w:marRight w:val="0"/>
                  <w:marTop w:val="0"/>
                  <w:marBottom w:val="0"/>
                  <w:divBdr>
                    <w:top w:val="none" w:sz="0" w:space="0" w:color="auto"/>
                    <w:left w:val="none" w:sz="0" w:space="0" w:color="auto"/>
                    <w:bottom w:val="none" w:sz="0" w:space="0" w:color="auto"/>
                    <w:right w:val="none" w:sz="0" w:space="0" w:color="auto"/>
                  </w:divBdr>
                  <w:divsChild>
                    <w:div w:id="1702626013">
                      <w:marLeft w:val="0"/>
                      <w:marRight w:val="0"/>
                      <w:marTop w:val="0"/>
                      <w:marBottom w:val="0"/>
                      <w:divBdr>
                        <w:top w:val="none" w:sz="0" w:space="0" w:color="auto"/>
                        <w:left w:val="none" w:sz="0" w:space="0" w:color="auto"/>
                        <w:bottom w:val="none" w:sz="0" w:space="0" w:color="auto"/>
                        <w:right w:val="none" w:sz="0" w:space="0" w:color="auto"/>
                      </w:divBdr>
                      <w:divsChild>
                        <w:div w:id="2028866637">
                          <w:marLeft w:val="0"/>
                          <w:marRight w:val="0"/>
                          <w:marTop w:val="0"/>
                          <w:marBottom w:val="0"/>
                          <w:divBdr>
                            <w:top w:val="none" w:sz="0" w:space="0" w:color="auto"/>
                            <w:left w:val="none" w:sz="0" w:space="0" w:color="auto"/>
                            <w:bottom w:val="none" w:sz="0" w:space="0" w:color="auto"/>
                            <w:right w:val="none" w:sz="0" w:space="0" w:color="auto"/>
                          </w:divBdr>
                          <w:divsChild>
                            <w:div w:id="743918040">
                              <w:marLeft w:val="0"/>
                              <w:marRight w:val="0"/>
                              <w:marTop w:val="0"/>
                              <w:marBottom w:val="0"/>
                              <w:divBdr>
                                <w:top w:val="none" w:sz="0" w:space="0" w:color="auto"/>
                                <w:left w:val="none" w:sz="0" w:space="0" w:color="auto"/>
                                <w:bottom w:val="none" w:sz="0" w:space="0" w:color="auto"/>
                                <w:right w:val="none" w:sz="0" w:space="0" w:color="auto"/>
                              </w:divBdr>
                              <w:divsChild>
                                <w:div w:id="14400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91989">
      <w:bodyDiv w:val="1"/>
      <w:marLeft w:val="0"/>
      <w:marRight w:val="0"/>
      <w:marTop w:val="0"/>
      <w:marBottom w:val="0"/>
      <w:divBdr>
        <w:top w:val="none" w:sz="0" w:space="0" w:color="auto"/>
        <w:left w:val="none" w:sz="0" w:space="0" w:color="auto"/>
        <w:bottom w:val="none" w:sz="0" w:space="0" w:color="auto"/>
        <w:right w:val="none" w:sz="0" w:space="0" w:color="auto"/>
      </w:divBdr>
    </w:div>
    <w:div w:id="662860135">
      <w:bodyDiv w:val="1"/>
      <w:marLeft w:val="0"/>
      <w:marRight w:val="0"/>
      <w:marTop w:val="0"/>
      <w:marBottom w:val="0"/>
      <w:divBdr>
        <w:top w:val="none" w:sz="0" w:space="0" w:color="auto"/>
        <w:left w:val="none" w:sz="0" w:space="0" w:color="auto"/>
        <w:bottom w:val="none" w:sz="0" w:space="0" w:color="auto"/>
        <w:right w:val="none" w:sz="0" w:space="0" w:color="auto"/>
      </w:divBdr>
    </w:div>
    <w:div w:id="729764057">
      <w:bodyDiv w:val="1"/>
      <w:marLeft w:val="0"/>
      <w:marRight w:val="0"/>
      <w:marTop w:val="0"/>
      <w:marBottom w:val="0"/>
      <w:divBdr>
        <w:top w:val="none" w:sz="0" w:space="0" w:color="auto"/>
        <w:left w:val="none" w:sz="0" w:space="0" w:color="auto"/>
        <w:bottom w:val="none" w:sz="0" w:space="0" w:color="auto"/>
        <w:right w:val="none" w:sz="0" w:space="0" w:color="auto"/>
      </w:divBdr>
    </w:div>
    <w:div w:id="732236793">
      <w:bodyDiv w:val="1"/>
      <w:marLeft w:val="0"/>
      <w:marRight w:val="0"/>
      <w:marTop w:val="0"/>
      <w:marBottom w:val="0"/>
      <w:divBdr>
        <w:top w:val="none" w:sz="0" w:space="0" w:color="auto"/>
        <w:left w:val="none" w:sz="0" w:space="0" w:color="auto"/>
        <w:bottom w:val="none" w:sz="0" w:space="0" w:color="auto"/>
        <w:right w:val="none" w:sz="0" w:space="0" w:color="auto"/>
      </w:divBdr>
      <w:divsChild>
        <w:div w:id="228272759">
          <w:marLeft w:val="0"/>
          <w:marRight w:val="0"/>
          <w:marTop w:val="0"/>
          <w:marBottom w:val="0"/>
          <w:divBdr>
            <w:top w:val="none" w:sz="0" w:space="0" w:color="auto"/>
            <w:left w:val="none" w:sz="0" w:space="0" w:color="auto"/>
            <w:bottom w:val="none" w:sz="0" w:space="0" w:color="auto"/>
            <w:right w:val="none" w:sz="0" w:space="0" w:color="auto"/>
          </w:divBdr>
          <w:divsChild>
            <w:div w:id="1803425059">
              <w:marLeft w:val="0"/>
              <w:marRight w:val="0"/>
              <w:marTop w:val="0"/>
              <w:marBottom w:val="0"/>
              <w:divBdr>
                <w:top w:val="none" w:sz="0" w:space="0" w:color="auto"/>
                <w:left w:val="none" w:sz="0" w:space="0" w:color="auto"/>
                <w:bottom w:val="none" w:sz="0" w:space="0" w:color="auto"/>
                <w:right w:val="none" w:sz="0" w:space="0" w:color="auto"/>
              </w:divBdr>
              <w:divsChild>
                <w:div w:id="1981419307">
                  <w:marLeft w:val="0"/>
                  <w:marRight w:val="0"/>
                  <w:marTop w:val="0"/>
                  <w:marBottom w:val="0"/>
                  <w:divBdr>
                    <w:top w:val="none" w:sz="0" w:space="0" w:color="auto"/>
                    <w:left w:val="none" w:sz="0" w:space="0" w:color="auto"/>
                    <w:bottom w:val="none" w:sz="0" w:space="0" w:color="auto"/>
                    <w:right w:val="single" w:sz="6" w:space="23" w:color="E2E2E2"/>
                  </w:divBdr>
                </w:div>
              </w:divsChild>
            </w:div>
          </w:divsChild>
        </w:div>
      </w:divsChild>
    </w:div>
    <w:div w:id="747773411">
      <w:bodyDiv w:val="1"/>
      <w:marLeft w:val="0"/>
      <w:marRight w:val="0"/>
      <w:marTop w:val="0"/>
      <w:marBottom w:val="0"/>
      <w:divBdr>
        <w:top w:val="none" w:sz="0" w:space="0" w:color="auto"/>
        <w:left w:val="none" w:sz="0" w:space="0" w:color="auto"/>
        <w:bottom w:val="none" w:sz="0" w:space="0" w:color="auto"/>
        <w:right w:val="none" w:sz="0" w:space="0" w:color="auto"/>
      </w:divBdr>
    </w:div>
    <w:div w:id="807632144">
      <w:bodyDiv w:val="1"/>
      <w:marLeft w:val="0"/>
      <w:marRight w:val="0"/>
      <w:marTop w:val="0"/>
      <w:marBottom w:val="0"/>
      <w:divBdr>
        <w:top w:val="none" w:sz="0" w:space="0" w:color="auto"/>
        <w:left w:val="none" w:sz="0" w:space="0" w:color="auto"/>
        <w:bottom w:val="none" w:sz="0" w:space="0" w:color="auto"/>
        <w:right w:val="none" w:sz="0" w:space="0" w:color="auto"/>
      </w:divBdr>
    </w:div>
    <w:div w:id="857282059">
      <w:bodyDiv w:val="1"/>
      <w:marLeft w:val="0"/>
      <w:marRight w:val="0"/>
      <w:marTop w:val="0"/>
      <w:marBottom w:val="0"/>
      <w:divBdr>
        <w:top w:val="none" w:sz="0" w:space="0" w:color="auto"/>
        <w:left w:val="none" w:sz="0" w:space="0" w:color="auto"/>
        <w:bottom w:val="none" w:sz="0" w:space="0" w:color="auto"/>
        <w:right w:val="none" w:sz="0" w:space="0" w:color="auto"/>
      </w:divBdr>
    </w:div>
    <w:div w:id="884562126">
      <w:bodyDiv w:val="1"/>
      <w:marLeft w:val="0"/>
      <w:marRight w:val="0"/>
      <w:marTop w:val="0"/>
      <w:marBottom w:val="0"/>
      <w:divBdr>
        <w:top w:val="none" w:sz="0" w:space="0" w:color="auto"/>
        <w:left w:val="none" w:sz="0" w:space="0" w:color="auto"/>
        <w:bottom w:val="none" w:sz="0" w:space="0" w:color="auto"/>
        <w:right w:val="none" w:sz="0" w:space="0" w:color="auto"/>
      </w:divBdr>
    </w:div>
    <w:div w:id="906067730">
      <w:bodyDiv w:val="1"/>
      <w:marLeft w:val="0"/>
      <w:marRight w:val="0"/>
      <w:marTop w:val="0"/>
      <w:marBottom w:val="0"/>
      <w:divBdr>
        <w:top w:val="none" w:sz="0" w:space="0" w:color="auto"/>
        <w:left w:val="none" w:sz="0" w:space="0" w:color="auto"/>
        <w:bottom w:val="none" w:sz="0" w:space="0" w:color="auto"/>
        <w:right w:val="none" w:sz="0" w:space="0" w:color="auto"/>
      </w:divBdr>
    </w:div>
    <w:div w:id="906846630">
      <w:bodyDiv w:val="1"/>
      <w:marLeft w:val="0"/>
      <w:marRight w:val="0"/>
      <w:marTop w:val="0"/>
      <w:marBottom w:val="0"/>
      <w:divBdr>
        <w:top w:val="none" w:sz="0" w:space="0" w:color="auto"/>
        <w:left w:val="none" w:sz="0" w:space="0" w:color="auto"/>
        <w:bottom w:val="none" w:sz="0" w:space="0" w:color="auto"/>
        <w:right w:val="none" w:sz="0" w:space="0" w:color="auto"/>
      </w:divBdr>
      <w:divsChild>
        <w:div w:id="1676768042">
          <w:marLeft w:val="0"/>
          <w:marRight w:val="0"/>
          <w:marTop w:val="360"/>
          <w:marBottom w:val="0"/>
          <w:divBdr>
            <w:top w:val="none" w:sz="0" w:space="0" w:color="auto"/>
            <w:left w:val="none" w:sz="0" w:space="0" w:color="auto"/>
            <w:bottom w:val="none" w:sz="0" w:space="0" w:color="auto"/>
            <w:right w:val="none" w:sz="0" w:space="0" w:color="auto"/>
          </w:divBdr>
          <w:divsChild>
            <w:div w:id="263341424">
              <w:marLeft w:val="0"/>
              <w:marRight w:val="0"/>
              <w:marTop w:val="0"/>
              <w:marBottom w:val="240"/>
              <w:divBdr>
                <w:top w:val="none" w:sz="0" w:space="0" w:color="auto"/>
                <w:left w:val="none" w:sz="0" w:space="0" w:color="auto"/>
                <w:bottom w:val="none" w:sz="0" w:space="0" w:color="auto"/>
                <w:right w:val="none" w:sz="0" w:space="0" w:color="auto"/>
              </w:divBdr>
              <w:divsChild>
                <w:div w:id="771239312">
                  <w:marLeft w:val="0"/>
                  <w:marRight w:val="0"/>
                  <w:marTop w:val="0"/>
                  <w:marBottom w:val="0"/>
                  <w:divBdr>
                    <w:top w:val="none" w:sz="0" w:space="0" w:color="auto"/>
                    <w:left w:val="none" w:sz="0" w:space="0" w:color="auto"/>
                    <w:bottom w:val="none" w:sz="0" w:space="0" w:color="auto"/>
                    <w:right w:val="none" w:sz="0" w:space="0" w:color="auto"/>
                  </w:divBdr>
                  <w:divsChild>
                    <w:div w:id="2083092353">
                      <w:marLeft w:val="0"/>
                      <w:marRight w:val="0"/>
                      <w:marTop w:val="0"/>
                      <w:marBottom w:val="150"/>
                      <w:divBdr>
                        <w:top w:val="none" w:sz="0" w:space="0" w:color="auto"/>
                        <w:left w:val="none" w:sz="0" w:space="0" w:color="auto"/>
                        <w:bottom w:val="none" w:sz="0" w:space="0" w:color="auto"/>
                        <w:right w:val="none" w:sz="0" w:space="0" w:color="auto"/>
                      </w:divBdr>
                      <w:divsChild>
                        <w:div w:id="578448848">
                          <w:marLeft w:val="0"/>
                          <w:marRight w:val="0"/>
                          <w:marTop w:val="0"/>
                          <w:marBottom w:val="0"/>
                          <w:divBdr>
                            <w:top w:val="none" w:sz="0" w:space="0" w:color="auto"/>
                            <w:left w:val="none" w:sz="0" w:space="0" w:color="auto"/>
                            <w:bottom w:val="none" w:sz="0" w:space="0" w:color="auto"/>
                            <w:right w:val="none" w:sz="0" w:space="0" w:color="auto"/>
                          </w:divBdr>
                        </w:div>
                        <w:div w:id="7376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78152">
      <w:bodyDiv w:val="1"/>
      <w:marLeft w:val="0"/>
      <w:marRight w:val="0"/>
      <w:marTop w:val="0"/>
      <w:marBottom w:val="0"/>
      <w:divBdr>
        <w:top w:val="none" w:sz="0" w:space="0" w:color="auto"/>
        <w:left w:val="none" w:sz="0" w:space="0" w:color="auto"/>
        <w:bottom w:val="none" w:sz="0" w:space="0" w:color="auto"/>
        <w:right w:val="none" w:sz="0" w:space="0" w:color="auto"/>
      </w:divBdr>
    </w:div>
    <w:div w:id="958415799">
      <w:bodyDiv w:val="1"/>
      <w:marLeft w:val="0"/>
      <w:marRight w:val="0"/>
      <w:marTop w:val="0"/>
      <w:marBottom w:val="0"/>
      <w:divBdr>
        <w:top w:val="none" w:sz="0" w:space="0" w:color="auto"/>
        <w:left w:val="none" w:sz="0" w:space="0" w:color="auto"/>
        <w:bottom w:val="none" w:sz="0" w:space="0" w:color="auto"/>
        <w:right w:val="none" w:sz="0" w:space="0" w:color="auto"/>
      </w:divBdr>
    </w:div>
    <w:div w:id="1001352494">
      <w:bodyDiv w:val="1"/>
      <w:marLeft w:val="0"/>
      <w:marRight w:val="0"/>
      <w:marTop w:val="0"/>
      <w:marBottom w:val="0"/>
      <w:divBdr>
        <w:top w:val="none" w:sz="0" w:space="0" w:color="auto"/>
        <w:left w:val="none" w:sz="0" w:space="0" w:color="auto"/>
        <w:bottom w:val="none" w:sz="0" w:space="0" w:color="auto"/>
        <w:right w:val="none" w:sz="0" w:space="0" w:color="auto"/>
      </w:divBdr>
    </w:div>
    <w:div w:id="1046879242">
      <w:bodyDiv w:val="1"/>
      <w:marLeft w:val="0"/>
      <w:marRight w:val="0"/>
      <w:marTop w:val="0"/>
      <w:marBottom w:val="0"/>
      <w:divBdr>
        <w:top w:val="none" w:sz="0" w:space="0" w:color="auto"/>
        <w:left w:val="none" w:sz="0" w:space="0" w:color="auto"/>
        <w:bottom w:val="none" w:sz="0" w:space="0" w:color="auto"/>
        <w:right w:val="none" w:sz="0" w:space="0" w:color="auto"/>
      </w:divBdr>
      <w:divsChild>
        <w:div w:id="501088839">
          <w:marLeft w:val="0"/>
          <w:marRight w:val="0"/>
          <w:marTop w:val="0"/>
          <w:marBottom w:val="120"/>
          <w:divBdr>
            <w:top w:val="none" w:sz="0" w:space="0" w:color="auto"/>
            <w:left w:val="none" w:sz="0" w:space="0" w:color="auto"/>
            <w:bottom w:val="none" w:sz="0" w:space="0" w:color="auto"/>
            <w:right w:val="none" w:sz="0" w:space="0" w:color="auto"/>
          </w:divBdr>
        </w:div>
        <w:div w:id="612638423">
          <w:marLeft w:val="0"/>
          <w:marRight w:val="0"/>
          <w:marTop w:val="0"/>
          <w:marBottom w:val="120"/>
          <w:divBdr>
            <w:top w:val="none" w:sz="0" w:space="0" w:color="auto"/>
            <w:left w:val="none" w:sz="0" w:space="0" w:color="auto"/>
            <w:bottom w:val="none" w:sz="0" w:space="0" w:color="auto"/>
            <w:right w:val="none" w:sz="0" w:space="0" w:color="auto"/>
          </w:divBdr>
        </w:div>
        <w:div w:id="1434208712">
          <w:marLeft w:val="0"/>
          <w:marRight w:val="0"/>
          <w:marTop w:val="0"/>
          <w:marBottom w:val="120"/>
          <w:divBdr>
            <w:top w:val="none" w:sz="0" w:space="0" w:color="auto"/>
            <w:left w:val="none" w:sz="0" w:space="0" w:color="auto"/>
            <w:bottom w:val="none" w:sz="0" w:space="0" w:color="auto"/>
            <w:right w:val="none" w:sz="0" w:space="0" w:color="auto"/>
          </w:divBdr>
        </w:div>
        <w:div w:id="1887327477">
          <w:marLeft w:val="0"/>
          <w:marRight w:val="0"/>
          <w:marTop w:val="0"/>
          <w:marBottom w:val="120"/>
          <w:divBdr>
            <w:top w:val="none" w:sz="0" w:space="0" w:color="auto"/>
            <w:left w:val="none" w:sz="0" w:space="0" w:color="auto"/>
            <w:bottom w:val="none" w:sz="0" w:space="0" w:color="auto"/>
            <w:right w:val="none" w:sz="0" w:space="0" w:color="auto"/>
          </w:divBdr>
        </w:div>
      </w:divsChild>
    </w:div>
    <w:div w:id="1048846088">
      <w:bodyDiv w:val="1"/>
      <w:marLeft w:val="0"/>
      <w:marRight w:val="0"/>
      <w:marTop w:val="0"/>
      <w:marBottom w:val="0"/>
      <w:divBdr>
        <w:top w:val="none" w:sz="0" w:space="0" w:color="auto"/>
        <w:left w:val="none" w:sz="0" w:space="0" w:color="auto"/>
        <w:bottom w:val="none" w:sz="0" w:space="0" w:color="auto"/>
        <w:right w:val="none" w:sz="0" w:space="0" w:color="auto"/>
      </w:divBdr>
    </w:div>
    <w:div w:id="1277373012">
      <w:bodyDiv w:val="1"/>
      <w:marLeft w:val="0"/>
      <w:marRight w:val="0"/>
      <w:marTop w:val="0"/>
      <w:marBottom w:val="0"/>
      <w:divBdr>
        <w:top w:val="none" w:sz="0" w:space="0" w:color="auto"/>
        <w:left w:val="none" w:sz="0" w:space="0" w:color="auto"/>
        <w:bottom w:val="none" w:sz="0" w:space="0" w:color="auto"/>
        <w:right w:val="none" w:sz="0" w:space="0" w:color="auto"/>
      </w:divBdr>
    </w:div>
    <w:div w:id="1281113335">
      <w:bodyDiv w:val="1"/>
      <w:marLeft w:val="0"/>
      <w:marRight w:val="0"/>
      <w:marTop w:val="0"/>
      <w:marBottom w:val="0"/>
      <w:divBdr>
        <w:top w:val="none" w:sz="0" w:space="0" w:color="auto"/>
        <w:left w:val="none" w:sz="0" w:space="0" w:color="auto"/>
        <w:bottom w:val="none" w:sz="0" w:space="0" w:color="auto"/>
        <w:right w:val="none" w:sz="0" w:space="0" w:color="auto"/>
      </w:divBdr>
    </w:div>
    <w:div w:id="1421637262">
      <w:bodyDiv w:val="1"/>
      <w:marLeft w:val="0"/>
      <w:marRight w:val="0"/>
      <w:marTop w:val="0"/>
      <w:marBottom w:val="0"/>
      <w:divBdr>
        <w:top w:val="none" w:sz="0" w:space="0" w:color="auto"/>
        <w:left w:val="none" w:sz="0" w:space="0" w:color="auto"/>
        <w:bottom w:val="none" w:sz="0" w:space="0" w:color="auto"/>
        <w:right w:val="none" w:sz="0" w:space="0" w:color="auto"/>
      </w:divBdr>
    </w:div>
    <w:div w:id="1449662731">
      <w:bodyDiv w:val="1"/>
      <w:marLeft w:val="0"/>
      <w:marRight w:val="0"/>
      <w:marTop w:val="0"/>
      <w:marBottom w:val="0"/>
      <w:divBdr>
        <w:top w:val="none" w:sz="0" w:space="0" w:color="auto"/>
        <w:left w:val="none" w:sz="0" w:space="0" w:color="auto"/>
        <w:bottom w:val="none" w:sz="0" w:space="0" w:color="auto"/>
        <w:right w:val="none" w:sz="0" w:space="0" w:color="auto"/>
      </w:divBdr>
    </w:div>
    <w:div w:id="1479608688">
      <w:bodyDiv w:val="1"/>
      <w:marLeft w:val="0"/>
      <w:marRight w:val="0"/>
      <w:marTop w:val="0"/>
      <w:marBottom w:val="0"/>
      <w:divBdr>
        <w:top w:val="none" w:sz="0" w:space="0" w:color="auto"/>
        <w:left w:val="none" w:sz="0" w:space="0" w:color="auto"/>
        <w:bottom w:val="none" w:sz="0" w:space="0" w:color="auto"/>
        <w:right w:val="none" w:sz="0" w:space="0" w:color="auto"/>
      </w:divBdr>
    </w:div>
    <w:div w:id="1546604135">
      <w:bodyDiv w:val="1"/>
      <w:marLeft w:val="0"/>
      <w:marRight w:val="0"/>
      <w:marTop w:val="0"/>
      <w:marBottom w:val="0"/>
      <w:divBdr>
        <w:top w:val="none" w:sz="0" w:space="0" w:color="auto"/>
        <w:left w:val="none" w:sz="0" w:space="0" w:color="auto"/>
        <w:bottom w:val="none" w:sz="0" w:space="0" w:color="auto"/>
        <w:right w:val="none" w:sz="0" w:space="0" w:color="auto"/>
      </w:divBdr>
    </w:div>
    <w:div w:id="1655909457">
      <w:bodyDiv w:val="1"/>
      <w:marLeft w:val="0"/>
      <w:marRight w:val="0"/>
      <w:marTop w:val="0"/>
      <w:marBottom w:val="0"/>
      <w:divBdr>
        <w:top w:val="none" w:sz="0" w:space="0" w:color="auto"/>
        <w:left w:val="none" w:sz="0" w:space="0" w:color="auto"/>
        <w:bottom w:val="none" w:sz="0" w:space="0" w:color="auto"/>
        <w:right w:val="none" w:sz="0" w:space="0" w:color="auto"/>
      </w:divBdr>
    </w:div>
    <w:div w:id="1663046676">
      <w:bodyDiv w:val="1"/>
      <w:marLeft w:val="0"/>
      <w:marRight w:val="0"/>
      <w:marTop w:val="0"/>
      <w:marBottom w:val="0"/>
      <w:divBdr>
        <w:top w:val="none" w:sz="0" w:space="0" w:color="auto"/>
        <w:left w:val="none" w:sz="0" w:space="0" w:color="auto"/>
        <w:bottom w:val="none" w:sz="0" w:space="0" w:color="auto"/>
        <w:right w:val="none" w:sz="0" w:space="0" w:color="auto"/>
      </w:divBdr>
    </w:div>
    <w:div w:id="1664622912">
      <w:bodyDiv w:val="1"/>
      <w:marLeft w:val="0"/>
      <w:marRight w:val="0"/>
      <w:marTop w:val="0"/>
      <w:marBottom w:val="0"/>
      <w:divBdr>
        <w:top w:val="none" w:sz="0" w:space="0" w:color="auto"/>
        <w:left w:val="none" w:sz="0" w:space="0" w:color="auto"/>
        <w:bottom w:val="none" w:sz="0" w:space="0" w:color="auto"/>
        <w:right w:val="none" w:sz="0" w:space="0" w:color="auto"/>
      </w:divBdr>
    </w:div>
    <w:div w:id="1721631633">
      <w:bodyDiv w:val="1"/>
      <w:marLeft w:val="0"/>
      <w:marRight w:val="0"/>
      <w:marTop w:val="0"/>
      <w:marBottom w:val="0"/>
      <w:divBdr>
        <w:top w:val="none" w:sz="0" w:space="0" w:color="auto"/>
        <w:left w:val="none" w:sz="0" w:space="0" w:color="auto"/>
        <w:bottom w:val="none" w:sz="0" w:space="0" w:color="auto"/>
        <w:right w:val="none" w:sz="0" w:space="0" w:color="auto"/>
      </w:divBdr>
    </w:div>
    <w:div w:id="1732116695">
      <w:bodyDiv w:val="1"/>
      <w:marLeft w:val="0"/>
      <w:marRight w:val="0"/>
      <w:marTop w:val="0"/>
      <w:marBottom w:val="0"/>
      <w:divBdr>
        <w:top w:val="none" w:sz="0" w:space="0" w:color="auto"/>
        <w:left w:val="none" w:sz="0" w:space="0" w:color="auto"/>
        <w:bottom w:val="none" w:sz="0" w:space="0" w:color="auto"/>
        <w:right w:val="none" w:sz="0" w:space="0" w:color="auto"/>
      </w:divBdr>
    </w:div>
    <w:div w:id="2017923149">
      <w:bodyDiv w:val="1"/>
      <w:marLeft w:val="0"/>
      <w:marRight w:val="0"/>
      <w:marTop w:val="0"/>
      <w:marBottom w:val="0"/>
      <w:divBdr>
        <w:top w:val="none" w:sz="0" w:space="0" w:color="auto"/>
        <w:left w:val="none" w:sz="0" w:space="0" w:color="auto"/>
        <w:bottom w:val="none" w:sz="0" w:space="0" w:color="auto"/>
        <w:right w:val="none" w:sz="0" w:space="0" w:color="auto"/>
      </w:divBdr>
    </w:div>
    <w:div w:id="20349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E4D3E-F264-480A-B7BA-2514D0D03527}">
  <ds:schemaRefs>
    <ds:schemaRef ds:uri="http://schemas.openxmlformats.org/officeDocument/2006/bibliography"/>
  </ds:schemaRefs>
</ds:datastoreItem>
</file>

<file path=customXml/itemProps2.xml><?xml version="1.0" encoding="utf-8"?>
<ds:datastoreItem xmlns:ds="http://schemas.openxmlformats.org/officeDocument/2006/customXml" ds:itemID="{9D5A506D-87D0-47A5-81AB-4E300FFDBA88}"/>
</file>

<file path=customXml/itemProps3.xml><?xml version="1.0" encoding="utf-8"?>
<ds:datastoreItem xmlns:ds="http://schemas.openxmlformats.org/officeDocument/2006/customXml" ds:itemID="{6BC65F2B-AA09-4023-B03C-C8EEDD9BBAD3}"/>
</file>

<file path=customXml/itemProps4.xml><?xml version="1.0" encoding="utf-8"?>
<ds:datastoreItem xmlns:ds="http://schemas.openxmlformats.org/officeDocument/2006/customXml" ds:itemID="{6587886A-57C1-4E7F-9BE4-0ADC4EE225EC}"/>
</file>

<file path=docProps/app.xml><?xml version="1.0" encoding="utf-8"?>
<Properties xmlns="http://schemas.openxmlformats.org/officeDocument/2006/extended-properties" xmlns:vt="http://schemas.openxmlformats.org/officeDocument/2006/docPropsVTypes">
  <Template>Normal</Template>
  <TotalTime>362</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NguyenMinh</dc:creator>
  <cp:lastModifiedBy>Nguyen Thuy Ha</cp:lastModifiedBy>
  <cp:revision>51</cp:revision>
  <cp:lastPrinted>2021-09-11T01:35:00Z</cp:lastPrinted>
  <dcterms:created xsi:type="dcterms:W3CDTF">2021-08-30T03:08:00Z</dcterms:created>
  <dcterms:modified xsi:type="dcterms:W3CDTF">2021-10-07T09:28:00Z</dcterms:modified>
</cp:coreProperties>
</file>